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BayDSchG (Bayern) — Heimatpfleger</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Heimatpfleger beraten und unterstützen die Denkmalschutzbehörden und das Landesamt für Denkmalpflege in den Fragen der Denkmalpflege und des Denkmalschutzes. Ihnen ist durch die Denkmalschutzbehörden in den ihren Aufgabenbereich betreffenden Fällen rechtzeitig Gelegenheit zur Äußerung zu geben.</w:t>
      </w:r>
    </w:p>
    <w:p>
      <w:r>
        <w:t xml:space="preserve">(2) Die Denkmalschutzbehörden und das Landesamt für Denkmalpflege sollen sich in geeigneten Fällen der Unterstützung kommunaler Stellen sowie privater Initiativen bedienen.</w:t>
      </w:r>
    </w:p>
    <w:p>
      <w:r>
        <w:rPr>
          <w:color w:val="555555"/>
          <w:sz w:val="17"/>
        </w:rPr>
        <w:t xml:space="preserve">Zitiervorschlag: Art 12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