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BayDSchG (Bayern) — Begriffsbestimmungen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Denkmäler sind von Menschen geschaffene Sachen oder Teile davon aus vergangener Zeit, deren Erhaltung wegen ihrer geschichtlichen, künstlerischen, städtebaulichen, wissenschaftlichen oder volkskundlichen Bedeutung im Interesse der Allgemeinheit liegt.</w:t>
      </w:r>
    </w:p>
    <w:p>
      <w:r>
        <w:t xml:space="preserve">(2) Baudenkmäler sind bauliche Anlagen oder Teile davon aus vergangener Zeit, soweit sie nicht unter Abs. 4 fallen, einschließlich dafür bestimmter historischer Ausstattungsstücke und mit der in Abs. 1 bezeichneten Bedeutung. Auch bewegliche Sachen können historische Ausstattungsstücke sein, wenn sie integrale Bestandteile einer historischen Raumkonzeption oder einer ihr gleichzusetzenden historisch abgeschlossenen Neuausstattung oder Umgestaltung sind. Gartenanlagen, die die Voraussetzungen des Abs. 1 erfüllen, gelten als Baudenkmäler.</w:t>
      </w:r>
    </w:p>
    <w:p>
      <w:r>
        <w:t xml:space="preserve">(3) Zu den Baudenkmälern kann auch eine Mehrheit von baulichen Anlagen (Ensemble) gehören, und zwar auch dann, wenn keine oder nur einzelne dazugehörige bauliche Anlagen die Voraussetzungen des Abs. 1 erfüllen, das Orts-, Platz- oder Straßenbild aber insgesamt erhaltenswürdig ist.</w:t>
      </w:r>
    </w:p>
    <w:p>
      <w:r>
        <w:t xml:space="preserve">(4) Bodendenkmäler sind bewegliche und unbewegliche Denkmäler einschließlich der zu ihnen gehörenden menschlichen Gebeine, tierischen und sonstigen organischen Überreste, die sich im Boden befinden oder befanden und in der Regel aus vor- oder frühgeschichtlicher Zeit stammen.</w:t>
      </w:r>
    </w:p>
    <w:p>
      <w:r>
        <w:rPr>
          <w:color w:val="555555"/>
          <w:sz w:val="17"/>
        </w:rPr>
        <w:t xml:space="preserve">Zitiervorschlag: Art 1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