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BayDSG (Bayern) — Informationspflicht (zu Art. 13, 14 DSGVO)</w:t>
      </w:r>
    </w:p>
    <w:p>
      <w:r>
        <w:rPr>
          <w:color w:val="555555"/>
          <w:sz w:val="18"/>
        </w:rPr>
        <w:t xml:space="preserve">Bayerisches Datenschutzgesetz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Pflicht zur Information der betroffenen Person besteht unbeschadet sonstiger Bestimmungen dann nicht, soweit und solange ein Fall des Art. 6 Abs. 2 Nr. 3 Buchst. a, b oder Buchst. d vorliegt.</w:t>
      </w:r>
    </w:p>
    <w:p>
      <w:r>
        <w:t xml:space="preserve">(2) In den Fällen des Art. 4 Abs. 2 Satz 2 ist eine nicht öffentliche Stelle auf die Rechtsvorschrift, die zur Auskunft verpflichtet, sonst auf die Freiwilligkeit ihrer Angaben hinzuweisen.</w:t>
      </w:r>
    </w:p>
    <w:p>
      <w:r>
        <w:rPr>
          <w:color w:val="555555"/>
          <w:sz w:val="17"/>
        </w:rPr>
        <w:t xml:space="preserve">Zitiervorschlag: Art 9 BayDSG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