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BayDSG (Bayern) — Verarbeitung zu journalistischen, künstlerischen oder literarischen Zwecken (zu Art. 85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personenbezogene Daten zu journalistischen, künstlerischen oder literarischen Zwecken verarbeitet, stehen den betroffenen Personen nur die in Abs. 2 genannten Rechte zu. Im Übrigen gelten für Verarbeitungen im Sinne des Satzes 1 Kapitel I, Art. 5 Abs. 1 Buchst. f, Art. 24 und 32, Kapitel VIII, X und XI DSGVO. Art. 82 DSGVO gilt mit der Maßgabe, dass nur für unzureichende Maßnahmen nach Art. 5 Abs. 1 Buchst. f, Art. 24 und 32 DSGVO gehaftet wird.</w:t>
      </w:r>
    </w:p>
    <w:p>
      <w:r>
        <w:t xml:space="preserve">(2) Führt die journalistische, künstlerische oder literarische Verarbeitung personenbezogener Daten zur Verbreitung von Gegendarstellungen, zu Verpflichtungserklärungen, gerichtlichen Entscheidungen oder Widerrufen, sind diese zu den gespeicherten Daten zu nehmen, dort für dieselbe Zeitdauer aufzubewahren wie die Daten selbst und bei einer Übermittlung der Daten gemeinsam mit diesen zu übermitteln.</w:t>
      </w:r>
    </w:p>
    <w:p>
      <w:r>
        <w:rPr>
          <w:color w:val="555555"/>
          <w:sz w:val="17"/>
        </w:rPr>
        <w:t xml:space="preserve">Zitiervorschlag: Art 38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