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BayDSG (Bayern) — Automatisierte Einzelentscheidungen</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Entscheidungen, die für die betroffene Person mit einer nachteiligen Rechtsfolge verbunden sind oder sie erheblich beeinträchtigen, einschließlich Profiling, dürfen nicht ausschließlich auf eine automatisierte Verarbeitung gestützt werden, es sei denn, eine Rechtsvorschrift lässt dies ausdrücklich zu.</w:t>
      </w:r>
    </w:p>
    <w:p>
      <w:r>
        <w:t xml:space="preserve">(2) Profiling, das zur Folge hat, dass betroffene Personen auf der Grundlage von besonderen Daten im Sinne des Art. 9 Abs. 1 DSGVO benachteiligt werden, ist verboten.</w:t>
      </w:r>
    </w:p>
    <w:p>
      <w:r>
        <w:rPr>
          <w:color w:val="555555"/>
          <w:sz w:val="17"/>
        </w:rPr>
        <w:t xml:space="preserve">Zitiervorschlag: Art 35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