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BayDSG (Bayern) — Anforderungen an die Sicherheit der Verarbeitung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32 Abs. 3 und 4 DSGVO findet keine Anwendung.</w:t>
      </w:r>
    </w:p>
    <w:p>
      <w:r>
        <w:t xml:space="preserve">(2) Im Fall einer automatisierten Verarbeitung haben der Verantwortliche oder der Auftragsverarbeiter auf Grundlage einer Risikobewertung Maßnahmen zu ergreifen, die geeignet sind, um</w:t>
      </w:r>
    </w:p>
    <w:p>
      <w:r>
        <w:t xml:space="preserve">1. Unbefugten den Zugang zu Datenverarbeitungsanlagen, mit denen personenbezogene Daten verarbeitet werden, zu verwehren (Zugangskontrolle),</w:t>
      </w:r>
    </w:p>
    <w:p>
      <w:r>
        <w:t xml:space="preserve">2. die innerbehördliche oder innerbetriebliche Organisation so zu gestalten, dass sie den besonderen Anforderungen des Datenschutzes gerecht wird (Organisationskontrolle),</w:t>
      </w:r>
    </w:p>
    <w:p>
      <w:r>
        <w:t xml:space="preserve">3. zu verhindern, dass</w:t>
      </w:r>
    </w:p>
    <w:p>
      <w:r>
        <w:t xml:space="preserve">a) Datenträger unbefugt gelesen, kopiert, verändert oder entfernt werden können (Datenträgerkontrolle),</w:t>
      </w:r>
    </w:p>
    <w:p>
      <w:r>
        <w:t xml:space="preserve">b) personenbezogene Daten unbefugt eingegeben werden sowie gespeicherte personenbezogene Daten unbefugt gelesen, verändert oder gelöscht werden (Speicherkontrolle),</w:t>
      </w:r>
    </w:p>
    <w:p>
      <w:r>
        <w:t xml:space="preserve">c) automatisierte Datenverarbeitungssysteme mit Hilfe von Einrichtungen zur Datenübertragung von Unbefugten genutzt werden können (Benutzerkontrolle),</w:t>
      </w:r>
    </w:p>
    <w:p>
      <w:r>
        <w:t xml:space="preserve">d) bei der Übermittlung personenbezogener Daten sowie beim Transport von Datenträgern die Daten unbefugt gelesen, kopiert, verändert oder gelöscht werden können (Transportkontrolle),</w:t>
      </w:r>
    </w:p>
    <w:p>
      <w:r>
        <w:t xml:space="preserve">4. zu gewährleisten, dass</w:t>
      </w:r>
    </w:p>
    <w:p>
      <w:r>
        <w:t xml:space="preserve">a) die zur Benutzung eines automatisierten Datenverarbeitungssystems Berechtigten ausschließlich auf die ihrer Zugriffsberechtigung unterliegenden Daten zugreifen können (Zugriffskontrolle),</w:t>
      </w:r>
    </w:p>
    <w:p>
      <w:r>
        <w:t xml:space="preserve">b) überprüft und festgestellt werden kann, an welche Stellen personenbezogene Daten mit Hilfe von Einrichtungen zur Datenübertragung übermittelt oder zur Verfügung gestellt wurden oder werden können (Übertragungskontrolle),</w:t>
      </w:r>
    </w:p>
    <w:p>
      <w:r>
        <w:t xml:space="preserve">c) nachträglich überprüft und festgestellt werden kann, welche personenbezogenen Daten zu welcher Zeit von wem in automatisierte Datenverarbeitungssysteme eingegeben worden sind (Eingabekontrolle),</w:t>
      </w:r>
    </w:p>
    <w:p>
      <w:r>
        <w:t xml:space="preserve">d) eingesetzte Systeme im Störungsfall wiederhergestellt werden können (Wiederherstellung),</w:t>
      </w:r>
    </w:p>
    <w:p>
      <w:r>
        <w:t xml:space="preserve">e) alle Funktionen des Systems zur Verfügung stehen und auftretende Fehlfunktionen gemeldet werden (Zuverlässigkeit),</w:t>
      </w:r>
    </w:p>
    <w:p>
      <w:r>
        <w:t xml:space="preserve">f) gespeicherte personenbezogene Daten nicht durch Fehlfunktionen des Systems beschädigt werden können (Datenintegrität),</w:t>
      </w:r>
    </w:p>
    <w:p>
      <w:r>
        <w:t xml:space="preserve">g) personenbezogene Daten, die im Auftrag verarbeitet werden, nur entsprechend den Weisungen des Verantwortlichen verarbeitet werden können (Auftragskontrolle).</w:t>
      </w:r>
    </w:p>
    <w:p>
      <w:r>
        <w:rPr>
          <w:color w:val="555555"/>
          <w:sz w:val="17"/>
        </w:rPr>
        <w:t xml:space="preserve">Zitiervorschlag: Art 32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