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27 BayDSG (Bayern) — Staatliche und kommunale Auszeichnungen und Ehrungen</w:t>
      </w:r>
    </w:p>
    <w:p>
      <w:r>
        <w:rPr>
          <w:color w:val="555555"/>
          <w:sz w:val="18"/>
        </w:rPr>
        <w:t xml:space="preserve">Bayerisches Datenschutzgesetz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Zur Vorbereitung und Durchführung staatlicher oder kommunaler Auszeichnungen oder Ehrungen dürfen personenbezogene Daten, einschließlich der Daten nach Art. 9 Abs. 1 DSGVO, auch ohne Kenntnis der betroffenen Person verarbeitet werden.</w:t>
      </w:r>
    </w:p>
    <w:p>
      <w:r>
        <w:t xml:space="preserve">(2) Andere öffentliche Stellen dürfen die zur Vorbereitung und Durchführung staatlicher oder kommunaler Auszeichnungen und Ehrungen erforderlichen personenbezogenen Daten, einschließlich der Daten nach Art. 9 Abs. 1 DSGVO, an die dafür zuständigen Stellen übermitteln.</w:t>
      </w:r>
    </w:p>
    <w:p>
      <w:r>
        <w:t xml:space="preserve">(3) Eine Verarbeitung der personenbezogenen Daten nach Abs. 1 für andere Zwecke ist nur mit Einwilligung der betroffenen Person zulässig. Der Verantwortliche sieht angemessene und spezifische Maßnahmen zur Wahrung der Rechte der betroffenen Person gemäß Art. 8 Abs. 2 vor.</w:t>
      </w:r>
    </w:p>
    <w:p>
      <w:r>
        <w:t xml:space="preserve">(4) Soweit eine Verarbeitung ausschließlich für die in Abs. 1 genannten Zwecke erfolgt, sind die Art. 13 bis 16, 19 und 20 DSGVO nicht anzuwenden.</w:t>
      </w:r>
    </w:p>
    <w:p>
      <w:r>
        <w:t xml:space="preserve">(5) Die nach Abs. 1 gespeicherten personenbezogenen Daten sind zu löschen, sobald sie für den dort genannten Zweck nicht mehr erforderlich sind. Eine Löschung von Name, Vorname, Geburtsdatum, Anschrift und Kommunikationsdaten kann unterbleiben.</w:t>
      </w:r>
    </w:p>
    <w:p>
      <w:r>
        <w:t xml:space="preserve">(6) Abweichend von Art. 58 Abs. 2 DSGVO steht dem Landesbeauftragten bei der Überwachung der Anwendung von den Abs. 1 bis 5 nur das Beanstandungsrecht nach Art. 16 Abs. 4 zu.</w:t>
      </w:r>
    </w:p>
    <w:p>
      <w:r>
        <w:rPr>
          <w:color w:val="555555"/>
          <w:sz w:val="17"/>
        </w:rPr>
        <w:t xml:space="preserve">Zitiervorschlag: Art 27 BayDSG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https://recht.nulegal.eu/gesetze/BayDSG/27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