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14 BayDSG (Bayern) — Datenschutz-Folgenabschätzung (zu Art. 35 DSGVO)</w:t>
      </w:r>
    </w:p>
    <w:p>
      <w:r>
        <w:rPr>
          <w:color w:val="555555"/>
          <w:sz w:val="18"/>
        </w:rPr>
        <w:t xml:space="preserve">Bayerisches Datenschutzgesetz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Eine Datenschutz-Folgenabschätzung (Folgenabschätzung) durch den Verantwortlichen kann unterbleiben, soweit</w:t>
      </w:r>
    </w:p>
    <w:p>
      <w:r>
        <w:t xml:space="preserve">1. eine solche für den Verarbeitungsvorgang bereits vom fachlich zuständigen Staatsministerium oder einer von diesem ermächtigten öffentlichen Stelle durchgeführt wurde und dieser Verarbeitungsvorgang im Wesentlichen unverändert übernommen wird oder</w:t>
      </w:r>
    </w:p>
    <w:p>
      <w:r>
        <w:t xml:space="preserve">2. der konkrete Verarbeitungsvorgang in einer Rechtsvorschrift geregelt ist und im Rechtsetzungsverfahren bereits eine Folgenabschätzung erfolgt ist, es sei denn, dass in der Rechtsvorschrift etwas anderes bestimmt ist.</w:t>
      </w:r>
    </w:p>
    <w:p>
      <w:r>
        <w:t xml:space="preserve">(2) Entwickelt eine öffentliche Stelle ein automatisiertes Verfahren, das zum Einsatz durch öffentliche Stellen bestimmt ist, so kann sie, sofern die Voraussetzungen des Art. 35 Abs. 1 DSGVO bei diesem Verfahren vorliegen, die Folgenabschätzung nach den Art. 35 und 36 DSGVO durchführen. Soweit das Verfahren von öffentlichen Stellen im Wesentlichen unverändert übernommen wird, kann eine weitere Folgenabschätzung durch die übernehmenden öffentlichen Stellen unterbleiben.</w:t>
      </w:r>
    </w:p>
    <w:p>
      <w:r>
        <w:rPr>
          <w:color w:val="555555"/>
          <w:sz w:val="17"/>
        </w:rPr>
        <w:t xml:space="preserve">Zitiervorschlag: Art 14 BayDSG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https://recht.nulegal.eu/gesetze/BayDSG/14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