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BayDG (Bayern) — Geldbuße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Geldbuße kann bis zur Höhe der monatlichen Dienst- oder Anwärterbezüge auferlegt werden. Hat der Beamte oder die Beamtin keine Dienst- oder Anwärterbezüge, darf die Geldbuße bis zu dem Betrag von 500 €, bei Ehrenbeamten und Ehrenbeamtinnen bis zu einem Monatsbetrag der Entschädigung auferlegt werden.</w:t>
      </w:r>
    </w:p>
    <w:p>
      <w:r>
        <w:t xml:space="preserve">(2) Die Geldbuße fließt dem Dienstherrn zu. Art. 7 Abs. 2 Satz 2 gilt entsprechend.</w:t>
      </w:r>
    </w:p>
    <w:p>
      <w:r>
        <w:rPr>
          <w:color w:val="555555"/>
          <w:sz w:val="17"/>
        </w:rPr>
        <w:t xml:space="preserve">Zitiervorschlag: Art 8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