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76 BayDG (Bayern) — Begnadigung</w:t>
      </w:r>
    </w:p>
    <w:p>
      <w:r>
        <w:rPr>
          <w:color w:val="555555"/>
          <w:sz w:val="18"/>
        </w:rPr>
        <w:t xml:space="preserve">Bayerisches Disziplinargesetz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Dem Ministerpräsidenten steht das Begnadigungsrecht in Disziplinarsachen nach diesem Gesetz zu. Es kann auf andere Stellen übertragen werden.</w:t>
      </w:r>
    </w:p>
    <w:p>
      <w:r>
        <w:t xml:space="preserve">(2) Wird die Entfernung aus dem Beamtenverhältnis oder die Aberkennung des Ruhegehalts im Gnadenweg aufgehoben, gelten Art. 61 Abs. 2 BayBG und Art. 20 Abs. 2 KWBG entsprechend.</w:t>
      </w:r>
    </w:p>
    <w:p>
      <w:r>
        <w:t xml:space="preserve">(3) Auf Unterhaltsbeiträge, die im Gnadenweg bewilligt werden, sind Art. 74 Abs. 3 und 4 entsprechend anzuwenden, soweit die Gnadenentscheidung nichts anderes bestimmt.</w:t>
      </w:r>
    </w:p>
    <w:p>
      <w:r>
        <w:rPr>
          <w:color w:val="555555"/>
          <w:sz w:val="17"/>
        </w:rPr>
        <w:t xml:space="preserve">Zitiervorschlag: Art 76 BayDG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https://recht.nulegal.eu/gesetze/BayDG/76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