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BayDG (Bayern) — Erstattungsfähige Kosten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Gerichtliche Disziplinarverfahren sind gebührenfrei. Auslagen werden nach den Bestimmungen des Gerichtskostengesetzes erhoben.</w:t>
      </w:r>
    </w:p>
    <w:p>
      <w:r>
        <w:t xml:space="preserve">(2) Kosten im Sinn des Art. 72 sind auch die zur zweckentsprechenden Rechtsverfolgung oder Rechtsverteidigung notwendigen Aufwendungen der Beteiligten einschließlich der Kosten des behördlichen Disziplinarverfahrens.</w:t>
      </w:r>
    </w:p>
    <w:p>
      <w:r>
        <w:t xml:space="preserve">(3) Die gesetzlichen Gebühren und Auslagen eines Rechtsanwalts sind stets erstattungsfähig.</w:t>
      </w:r>
    </w:p>
    <w:p>
      <w:r>
        <w:rPr>
          <w:color w:val="555555"/>
          <w:sz w:val="17"/>
        </w:rPr>
        <w:t xml:space="preserve">Zitiervorschlag: Art 73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