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BayDG (Bayern) — Frist, Verfahren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Wiederaufnahme des Disziplinarverfahrens muss bei dem Gericht, dessen Entscheidung angefochten wird, binnen drei Monaten schriftlich eingereicht werden. Die Frist beginnt mit dem Tag, an dem der oder die Antragsberechtigte von dem Grund für die Wiederaufnahme Kenntnis erhalten hat. In dem Antrag ist das angefochtene Urteil zu bezeichnen und anzugeben, inwieweit es angefochten wird und welche Änderungen beantragt werden; die Anträge sind unter Bezeichnung der Beweismittel zu begründen.</w:t>
      </w:r>
    </w:p>
    <w:p>
      <w:r>
        <w:t xml:space="preserve">(2) Für das weitere Verfahren gelten die Bestimmungen über das gerichtliche Disziplinarverfahren entsprechend, soweit sich aus diesem Gesetz nichts anderes ergibt.</w:t>
      </w:r>
    </w:p>
    <w:p>
      <w:r>
        <w:rPr>
          <w:color w:val="555555"/>
          <w:sz w:val="17"/>
        </w:rPr>
        <w:t xml:space="preserve">Zitiervorschlag: Art 68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