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65 BayDG (Bayern) — Statthaftigkeit, Form und Frist der Beschwerde</w:t>
      </w:r>
    </w:p>
    <w:p>
      <w:r>
        <w:rPr>
          <w:color w:val="555555"/>
          <w:sz w:val="18"/>
        </w:rPr>
        <w:t xml:space="preserve">Bayerisches Disziplinargesetz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Für die Statthaftigkeit, Form und Frist der Beschwerde gelten die §§ 146 und 147 VwGO.</w:t>
      </w:r>
    </w:p>
    <w:p>
      <w:r>
        <w:t xml:space="preserve">(2) Gegen Beschlüsse des Verwaltungsgerichts, durch die nach Art. 57 Abs. 1 über eine Disziplinarklage entschieden wird, kann die Beschwerde nur auf das Fehlen der Zustimmung der Beteiligten gestützt werden.</w:t>
      </w:r>
    </w:p>
    <w:p>
      <w:r>
        <w:t xml:space="preserve">(3) Für das Beschwerdeverfahren gegen Beschlüsse des Verwaltungsgerichts über eine Aussetzung nach Art. 61 gilt § 146 Abs. 4 VwGO entsprechend.</w:t>
      </w:r>
    </w:p>
    <w:p>
      <w:r>
        <w:rPr>
          <w:color w:val="555555"/>
          <w:sz w:val="17"/>
        </w:rPr>
        <w:t xml:space="preserve">Zitiervorschlag: Art 65 BayDG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https://recht.nulegal.eu/gesetze/BayDG/65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