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64 BayDG (Bayern) — Mündliche Verhandlung, Entscheidung durch Urteil</w:t>
      </w:r>
    </w:p>
    <w:p>
      <w:r>
        <w:rPr>
          <w:color w:val="555555"/>
          <w:sz w:val="18"/>
        </w:rPr>
        <w:t xml:space="preserve">Bayerisches Disziplinargesetz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Verwaltungsgerichtshof entscheidet über die Berufung, wenn das Disziplinarverfahren nicht auf andere Weise abgeschlossen wird, auf Grund mündlicher Verhandlung durch Urteil. §§ 125 und 130a VwGO bleiben unberührt. § 106 VwGO findet keine Anwendung.</w:t>
      </w:r>
    </w:p>
    <w:p>
      <w:r>
        <w:t xml:space="preserve">(2) Das Urteil des Verwaltungsgerichtshofs wird mit der Verkündung rechtskräftig.</w:t>
      </w:r>
    </w:p>
    <w:p>
      <w:r>
        <w:rPr>
          <w:color w:val="555555"/>
          <w:sz w:val="17"/>
        </w:rPr>
        <w:t xml:space="preserve">Zitiervorschlag: Art 64 BayDG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https://recht.nulegal.eu/gesetze/BayDG/64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