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59 BayDG (Bayern) — Grenzen der erneuten Ausübung der Disziplinarbefugnisse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die Disziplinarbehörde die Disziplinarklage zurückgenommen hat, können die ihr zugrunde liegenden Handlungen nicht mehr Gegenstand eines Disziplinarverfahrens sein.</w:t>
      </w:r>
    </w:p>
    <w:p>
      <w:r>
        <w:t xml:space="preserve">(2) Hat das Gericht unanfechtbar über die Klage gegen eine Disziplinarverfügung entschieden, ist hinsichtlich der dieser Entscheidung zugrunde liegenden Handlungen eine erneute Ausübung der Disziplinarbefugnisse nur wegen solcher erheblicher Tatsachen und Beweismittel zulässig, die keinen Eingang in das gerichtliche Disziplinarverfahren gefunden haben. Eine Verschärfung der Disziplinarmaßnahme nach Art oder Höhe oder eine Erhebung der Disziplinarklage ist nur innerhalb von drei Monaten nach der Zustellung des Urteils zulässig.</w:t>
      </w:r>
    </w:p>
    <w:p>
      <w:r>
        <w:rPr>
          <w:color w:val="555555"/>
          <w:sz w:val="17"/>
        </w:rPr>
        <w:t xml:space="preserve">Zitiervorschlag: Art 59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