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BayDG (Bayern) — Entscheidung durch Beschluss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einer Disziplinarklage kann das Gericht, auch nach der Eröffnung der mündlichen Verhandlung, mit Zustimmung der Beteiligten durch Beschluss</w:t>
      </w:r>
    </w:p>
    <w:p>
      <w:r>
        <w:t xml:space="preserve">1. auf die erforderliche Disziplinarmaßnahme mit Ausnahme der Zurückstufung oder der Entfernung aus dem Beamtenverhältnis erkennen oder</w:t>
      </w:r>
    </w:p>
    <w:p>
      <w:r>
        <w:t xml:space="preserve">2. die Disziplinarklage abweisen.</w:t>
      </w:r>
    </w:p>
    <w:p>
      <w:r>
        <w:t xml:space="preserve">Zur Erklärung der Zustimmung kann den Beteiligten von dem oder der Vorsitzenden eine Frist gesetzt werden, nach deren Ablauf die Zustimmung als erteilt gilt, wenn nicht ein Beteiligter widersprochen hat.</w:t>
      </w:r>
    </w:p>
    <w:p>
      <w:r>
        <w:t xml:space="preserve">(2) Das Disziplinarverfahren kann durch Beschluss eingestellt werden, wenn</w:t>
      </w:r>
    </w:p>
    <w:p>
      <w:r>
        <w:t xml:space="preserve">1. das Disziplinarverfahren oder eine Disziplinarmaßnahme unzulässig wird,</w:t>
      </w:r>
    </w:p>
    <w:p>
      <w:r>
        <w:t xml:space="preserve">2. in der Person des Beamten oder der Beamtin oder des Ruhestandsbeamten oder der Ruhestandsbeamtin Umstände eintreten, die zur Einstellung des behördlichen Disziplinarverfahrens nach Art. 33 Abs. 2 führen würden; Art. 58 Abs. 2 Satz 2 Nr. 3 findet entsprechende Anwendung.</w:t>
      </w:r>
    </w:p>
    <w:p>
      <w:r>
        <w:t xml:space="preserve">(3) Der rechtskräftige Beschluss steht einem rechtskräftigen Urteil gleich.</w:t>
      </w:r>
    </w:p>
    <w:p>
      <w:r>
        <w:rPr>
          <w:color w:val="555555"/>
          <w:sz w:val="17"/>
        </w:rPr>
        <w:t xml:space="preserve">Zitiervorschlag: Art 57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