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56 BayDG (Bayern) — Beweisaufnahme</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Gericht erhebt die erforderlichen Beweise.</w:t>
      </w:r>
    </w:p>
    <w:p>
      <w:r>
        <w:t xml:space="preserve">(2) Bei einer Disziplinarklage sind Beweisanträge von der Disziplinarbehörde in der Klageschrift und von dem Beamten oder der Beamtin innerhalb von zwei Monaten nach Zustellung der Klage oder der Nachtragsdisziplinarklage zu stellen. Ein verspäteter Antrag kann abgelehnt werden, wenn seine Berücksichtigung nach der freien Überzeugung des Gerichts die Erledigung des Disziplinarverfahrens verzögern würde und der Beamte oder die Beamtin über die Folgen der Fristversäumung belehrt worden ist; dies gilt nicht, wenn zwingende Gründe für die Verspätung glaubhaft gemacht werden.</w:t>
      </w:r>
    </w:p>
    <w:p>
      <w:r>
        <w:t xml:space="preserve">(3) Art. 27 Abs. 1 gilt entsprechend.</w:t>
      </w:r>
    </w:p>
    <w:p>
      <w:r>
        <w:rPr>
          <w:color w:val="555555"/>
          <w:sz w:val="17"/>
        </w:rPr>
        <w:t xml:space="preserve">Zitiervorschlag: Art 56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https://recht.nulegal.eu/gesetze/BayDG/56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