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48 BayDG (Bayern) — Entbindung der Beamtenbeisitzer vom Amt</w:t>
      </w:r>
    </w:p>
    <w:p>
      <w:r>
        <w:rPr>
          <w:color w:val="555555"/>
          <w:sz w:val="18"/>
        </w:rPr>
        <w:t xml:space="preserve">Bayerisches Disziplinargesetz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(1) Beamtenbeisitzer sind von ihrem Amt zu entbinden, wenn</w:t>
      </w:r>
    </w:p>
    <w:p>
      <w:r>
        <w:t xml:space="preserve">1. sie im Strafverfahren rechtskräftig zu einer Freiheitsstrafe verurteilt worden sind,</w:t>
      </w:r>
    </w:p>
    <w:p>
      <w:r>
        <w:t xml:space="preserve">2. im Disziplinarverfahren gegen sie unanfechtbar eine Disziplinarmaßnahme mit Ausnahme eines Verweises ausgesprochen worden ist,</w:t>
      </w:r>
    </w:p>
    <w:p>
      <w:r>
        <w:t xml:space="preserve">3. sie die zur Ausübung des Amtes erforderlichen geistigen und körperlichen Fähigkeiten nicht mehr besitzen,</w:t>
      </w:r>
    </w:p>
    <w:p>
      <w:r>
        <w:t xml:space="preserve">4. die Voraussetzungen für das Amt nach Art. 44 Abs. 1 bei der Wahl nicht vorlagen,</w:t>
      </w:r>
    </w:p>
    <w:p>
      <w:r>
        <w:t xml:space="preserve">5. sie in ein Amt außerhalb der Bezirke, für die das Gericht zuständig ist, versetzt werden oder</w:t>
      </w:r>
    </w:p>
    <w:p>
      <w:r>
        <w:t xml:space="preserve">6. das Beamtenverhältnis endet. Dies gilt nicht für kommunale Wahlbeamte oder kommunale Wahlbeamtinnen, die in das gleiche Amt unmittelbar anschließend an ihre bisherige Amtszeit wieder gewählt werden.</w:t>
      </w:r>
    </w:p>
    <w:p>
      <w:r>
        <w:t xml:space="preserve">(2) In besonderen Härtefällen kann der Beamtenbeisitzer auch auf Antrag von der weiteren Ausübung des Amts entbunden werden.</w:t>
      </w:r>
    </w:p>
    <w:p>
      <w:r>
        <w:t xml:space="preserve">(3) Die Entscheidung trifft ein Senat des Verwaltungsgerichtshofs, in den Fällen des Abs. 1 Nr. 5 auf Antrag des ehrenamtlichen Richters oder der ehrenamtlichen Richterin, im Übrigen auf Antrag des Präsidenten oder der Präsidentin des Verwaltungsgerichts. § 24 Abs. 3 Sätze 2 und 3 VwGO gelten entsprechend.</w:t>
      </w:r>
    </w:p>
    <w:p>
      <w:r>
        <w:rPr>
          <w:color w:val="555555"/>
          <w:sz w:val="17"/>
        </w:rPr>
        <w:t xml:space="preserve">Zitiervorschlag: Art 48 BayDG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https://recht.nulegal.eu/gesetze/BayDG/48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