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BayDG (Bayern) — Beamtenbeisitzer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Beamtenbeisitzer müssen auf Lebenszeit ernannte Beamte oder Beamtinnen bei einem bayerischen Dienstherrn (§ 2 BeamtStG) oder kommunale Wahlbeamte oder Wahlbeamtinnen (Art. 1 Abs. 2 KWBG) sein und bei ihrer Wahl ihren dienstlichen Wohnsitz im Kammerbezirk haben.</w:t>
      </w:r>
    </w:p>
    <w:p>
      <w:r>
        <w:t xml:space="preserve">(2) Die §§ 20 bis 24, 27, 28 und 34 VwGO werden auf die Beamtenbeisitzer nicht angewandt.</w:t>
      </w:r>
    </w:p>
    <w:p>
      <w:r>
        <w:rPr>
          <w:color w:val="555555"/>
          <w:sz w:val="17"/>
        </w:rPr>
        <w:t xml:space="preserve">Zitiervorschlag: Art 44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