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BayDG (Bayern) — Zulässigkeit</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Disziplinarbehörde kann einen Beamten oder eine Beamtin gleichzeitig mit oder nach der Einleitung des Disziplinarverfahrens vorläufig des Dienstes entheben, wenn im Disziplinarverfahren voraussichtlich auf Entfernung aus dem Beamtenverhältnis oder auf Aberkennung des Ruhegehalts erkannt werden wird oder wenn voraussichtlich eine Entlassung nach § 23 Abs. 3 Nr. 1 oder § 23 Abs. 4 BeamtStG erfolgen wird. Sie kann den Beamten oder die Beamtin außerdem vorläufig des Dienstes entheben, wenn durch das Verbleiben im Dienst der Dienstbetrieb oder die Ermittlungen wesentlich beeinträchtigt würden und die vorläufige Dienstenthebung zu der Bedeutung der Sache und der zu erwartenden Disziplinarmaßnahme nicht außer Verhältnis steht.</w:t>
      </w:r>
    </w:p>
    <w:p>
      <w:r>
        <w:t xml:space="preserve">(2) Die Disziplinarbehörde kann gleichzeitig mit oder nach der vorläufigen Dienstenthebung anordnen, dass bis zu 50 v.H. der monatlichen Dienst- oder Anwärterbezüge einbehalten werden. Bei voraussichtlicher Aberkennung des Ruhegehalts kann die Disziplinarbehörde auch die Einbehaltung von bis zu 30 v.H. des Ruhegehalts anordnen. Die Einbehaltung darf in besonderen Fällen die in Satz 1 und 2 genannten Grenzen überschreiten.</w:t>
      </w:r>
    </w:p>
    <w:p>
      <w:r>
        <w:t xml:space="preserve">(3) Die Disziplinarbehörde kann die vorläufige Dienstenthebung, die Einbehaltung von Dienst- oder Anwärterbezügen sowie die Einbehaltung von Ruhegehalt jederzeit ganz oder teilweise aufheben.</w:t>
      </w:r>
    </w:p>
    <w:p>
      <w:r>
        <w:rPr>
          <w:color w:val="555555"/>
          <w:sz w:val="17"/>
        </w:rPr>
        <w:t xml:space="preserve">Zitiervorschlag: Art 39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