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BayCHInsBek (Bayern)</w:t>
      </w:r>
    </w:p>
    <w:p>
      <w:r>
        <w:rPr>
          <w:color w:val="555555"/>
          <w:sz w:val="18"/>
        </w:rPr>
        <w:t xml:space="preserve">Bekanntmachung, Übereinkunft der Königl. Bayer. Staatsregierung mit mehreren Schweizer Kantonen, die gleichen Konkurrenz- und Klassifikationsrechte bei Insolvenz-, Erklärungs- und Konkursfällen der gegenseitigen Staatsangehörigen betr.</w:t>
      </w:r>
    </w:p>
    <w:p>
      <w:r>
        <w:rPr>
          <w:color w:val="555555"/>
          <w:sz w:val="18"/>
        </w:rPr>
        <w:t xml:space="preserve">Landesrecht Bayern</w:t>
      </w:r>
    </w:p>
    <w:p>
      <w:r>
        <w:rPr>
          <w:color w:val="555555"/>
          <w:sz w:val="18"/>
        </w:rPr>
        <w:t xml:space="preserve">Stand: 25.08.2026 (konsolidierte Textfassung, kein amtliches Inkrafttretensdatum)</w:t>
      </w:r>
    </w:p>
    <w:p>
      <w:r>
        <w:t xml:space="preserve">Nachdem zwischen der Königl. Staatsregierung und den Schweizer Kantonen Zürich, Bern, Luzern, Unterwalden, Freiburg, Solothurn, Basel, Schaffhausen, St. Gallen, Graubünden, Aargau, Thurgau, Tessin, Waadt, Wallis, Neuenburg und Genf sowie Appenzell, Außerrhoden, die Übereinkunft getroffen worden ist:</w:t>
      </w:r>
    </w:p>
    <w:p>
      <w:r>
        <w:rPr>
          <w:color w:val="555555"/>
          <w:sz w:val="17"/>
        </w:rPr>
        <w:t xml:space="preserve">Zitiervorschlag: Eingangsformel BayCHInsBek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https://recht.nulegal.eu/gesetze/BayCHInsBek/eingangsformel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