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BayBodSchG (Bayern) — Mitwirkungspflichten, Entschädigung</w:t>
      </w:r>
    </w:p>
    <w:p>
      <w:r>
        <w:rPr>
          <w:color w:val="555555"/>
          <w:sz w:val="18"/>
        </w:rPr>
        <w:t xml:space="preserve">Bayerisches Bodenschutzgesetz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Grundstückseigentümer und der Inhaber der tatsächlichen Gewalt über ein Grundstück haben den zuständigen Fachbehörden und deren Beauftragten auf Verlangen die zur Erfüllung der Aufgaben nach Art. 8 erforderlichen Auskünfte zu erteilen. Sie sind auch verpflichtet, den zuständigen Fachbehörden und deren Beauftragten das Betreten des Grundstücks sowie die Vornahme von Ermittlungen zu gestatten. Art. 4 Abs. 2 gilt entsprechend.</w:t>
      </w:r>
    </w:p>
    <w:p>
      <w:r>
        <w:rPr>
          <w:color w:val="555555"/>
          <w:sz w:val="17"/>
        </w:rPr>
        <w:t xml:space="preserve">Zitiervorschlag: Art 9 BayBodSchG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https://recht.nulegal.eu/gesetze/BayBodSchG/9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