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 BayBodSchG (Bayern) — Zweck des Bodeninformationssystems</w:t>
      </w:r>
    </w:p>
    <w:p>
      <w:r>
        <w:rPr>
          <w:color w:val="555555"/>
          <w:sz w:val="18"/>
        </w:rPr>
        <w:t xml:space="preserve">Bayerisches Bodenschutzgesetz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Um die geowissenschaftlichen Grundlagen für eine nachhaltige Sicherung der Funktionen des Bodens bereitzustellen, wird beim Landesamt für Umwelt ein Bodeninformationssystem geführt.</w:t>
      </w:r>
    </w:p>
    <w:p>
      <w:r>
        <w:rPr>
          <w:color w:val="555555"/>
          <w:sz w:val="17"/>
        </w:rPr>
        <w:t xml:space="preserve">Zitiervorschlag: Art 7 BayBodSchG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https://recht.nulegal.eu/gesetze/BayBodSchG/7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