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BayBodSchG (Bayern) — Ergänzende Vorschriften für schädliche Bodenveränderungen und Verdachtsflächen</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Schädliche Bodenveränderungen und Verdachtsflächen unterliegen, soweit erforderlich und nicht abweichend oder inhaltsgleich in anderen Rechtsvorschriften geregelt, der Überwachung durch die zuständige Behörde.</w:t>
      </w:r>
    </w:p>
    <w:p>
      <w:r>
        <w:t xml:space="preserve">(2) Bei schädlichen Bodenveränderungen, von denen auf Grund von Art, Ausbreitung oder Menge der Schadstoffe in besonderem Maße Gefahren, erhebliche Nachteile oder erhebliche Belästigungen für den Einzelnen oder die Allgemeinheit ausgehen, kann die zuständige Behörde Sanierungsuntersuchungen, die Erstellung eines Sanierungsplans und die Durchführung von Eigenkontrollmaßnahmen verlangen. Die §§ 13, 14, 15 Abs. 2 und 3 sowie § 24 des Bundes-Bodenschutzgesetzes gelten entsprechend.</w:t>
      </w:r>
    </w:p>
    <w:p>
      <w:r>
        <w:rPr>
          <w:color w:val="555555"/>
          <w:sz w:val="17"/>
        </w:rPr>
        <w:t xml:space="preserve">Zitiervorschlag: Art 5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