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BayBodSchG (Bayern) — Duldungspflichten, Entschädigung</w:t>
      </w:r>
    </w:p>
    <w:p>
      <w:r>
        <w:rPr>
          <w:color w:val="555555"/>
          <w:sz w:val="18"/>
        </w:rPr>
        <w:t xml:space="preserve">Bayerisches Bodenschutzgesetz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Der Grundstückseigentümer, der Inhaber der tatsächlichen Gewalt über ein Grundstück und die Betroffenen nach § 12 des Bundes-Bodenschutzgesetzes sind verpflichtet, der zuständigen Behörde und deren Beauftragten zur Wahrnehmung der Aufgaben nach dem Bundes-Bodenschutzgesetz und diesem Gesetz das Betreten der Grundstücke, Geschäfts- und Betriebsräume sowie die Vornahme von Ermittlungen und die Einrichtung von Messstellen zu gestatten. Zur Verhütung dringender Gefahren für die öffentliche Sicherheit und Ordnung ist auch der Zutritt zu Wohnräumen und die Vornahme von Ermittlungen in diesen zu gestatten. Das Grundrecht der Unverletzlichkeit der Wohnung (Art. 13 des Grundgesetzes, Art. 106 Abs. 3 der Verfassung) wird insoweit eingeschränkt.</w:t>
      </w:r>
    </w:p>
    <w:p>
      <w:r>
        <w:t xml:space="preserve">(2) Bei Ausübung der Befugnisse nach Absatz 1 ist auf die berechtigten Belange der Betroffenen nach § 12 des Bundes-Bodenschutzgesetzes Rücksicht zu nehmen. Für Schäden, die den Betroffenen bei Ausübung der Befugnisse nach Absatz 1 entstehen, gilt Art. 11 Abs. 1 des Landesstraf- und Verordnungsgesetzes in Verbindung mit Art. 70 Abs. 1 des Polizeiaufgabengesetzes entsprechend.</w:t>
      </w:r>
    </w:p>
    <w:p>
      <w:r>
        <w:rPr>
          <w:color w:val="555555"/>
          <w:sz w:val="17"/>
        </w:rPr>
        <w:t xml:space="preserve">Zitiervorschlag: Art 4 BayBodSchG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https://recht.nulegal.eu/gesetze/BayBodSchG/4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