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BayBodSchG (Bayern) — Katastermäßige Erfassung</w:t>
      </w:r>
    </w:p>
    <w:p>
      <w:r>
        <w:rPr>
          <w:color w:val="555555"/>
          <w:sz w:val="18"/>
        </w:rPr>
        <w:t xml:space="preserve">Bayerisches Bodenschutzgesetz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Das Landesamt für Umwelt führt ein Kataster, in dem die von der zuständigen Behörde nach Art. 2 Satz 2 gemeldeten Flächen erfasst werden. Die Meldung wird dadurch bewirkt, dass die zuständige Behörde die Eintragungen im Kataster vornimmt.</w:t>
      </w:r>
    </w:p>
    <w:p>
      <w:r>
        <w:t xml:space="preserve">(2) Die zuständige Behörde unterrichtet das Landesamt für Umwelt über die Durchführung und das Ergebnis sämtlicher Maßnahmen, die zur Untersuchung, Überwachung oder Sanierung der im Kataster erfassten Flächen vorgenommen werden und nimmt die entsprechenden Eintragungen im Kataster vor.</w:t>
      </w:r>
    </w:p>
    <w:p>
      <w:r>
        <w:rPr>
          <w:color w:val="555555"/>
          <w:sz w:val="17"/>
        </w:rPr>
        <w:t xml:space="preserve">Zitiervorschlag: Art 3 BayBodSchG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https://recht.nulegal.eu/gesetze/BayBodSchG/3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