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13a BayBodSchG (Bayern) — Erkundung und Sanierung gemeindeeigener Hausmülldeponien</w:t>
      </w:r>
    </w:p>
    <w:p>
      <w:r>
        <w:rPr>
          <w:color w:val="555555"/>
          <w:sz w:val="18"/>
        </w:rPr>
        <w:t xml:space="preserve">Bayerisches Bodenschutzgesetz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Kosten für die Erkundung und Sanierung stillgelegter gemeindeeigener Hausmülldeponien tragen der Freistaat Bayern und die kreisangehörigen Gemeinden gemäß den nachfolgenden Bestimmungen gemeinsam. Gemeindeeigene Hausmülldeponie ist eine Deponie, die von einer kreisangehörigen Gemeinde in Erfüllung ihrer gesetzlichen Aufgabe der Abfallentsorgung betrieben worden ist, sofern nicht ein Landkreis oder eine kreisfreie Gemeinde als entsorgungspflichtige Körperschaft im Sinn des Art. 3 Abs. 1 des Bayerischen Abfallwirtschaftsgesetzes die Inhaberstellung übernommen hat oder sofern die Deponie nicht ausschließlich für die Ablagerung mineralischer Abfälle genehmigt worden ist. Eine gemeindeeigene Hausmülldeponie ist stillgelegt, wenn auf ihr nach dem 30. April 2006 keine Abfälle mehr abgelagert werden.</w:t>
      </w:r>
    </w:p>
    <w:p>
      <w:r>
        <w:t xml:space="preserve">(2) Das Staatsministerium für Umwelt und Verbraucherschutz errichtet und verwaltet mit Wirkung zum 1. Januar 2006 einen Unterstützungsfonds als staatliches Sondervermögen ohne eigene Rechtspersönlichkeit. Die jährlichen Beiträge an den Unterstützungsfonds werden vom Freistaat Bayern und von den kreisangehörigen Gemeinden je zur Hälfte aufgebracht. Die Beiträge betragen in der Regel je fünf Millionen Euro pro Jahr.</w:t>
      </w:r>
    </w:p>
    <w:p>
      <w:r>
        <w:t xml:space="preserve">(3) Die Beiträge der einzelnen Gemeinden zu dem von ihnen insgesamt gemäß Abs. 2 zum Unterstützungsfonds zu leistenden Anteil bestimmen sich nach dem Verhältnis ihrer für das laufende Rechnungsjahr maßgebenden Umlagegrundlagen (Art. 18 Abs. 3 des Finanzausgleichsgesetzes – FAG).</w:t>
      </w:r>
    </w:p>
    <w:p>
      <w:r>
        <w:t xml:space="preserve">(4) Aus dem Unterstützungsfonds erhalten die Gemeinden im Rahmen der verfügbaren Mittel Zuschüsse, soweit sie nach anderen Rechtsvorschriften die Kosten für die Erkundung und die Sanierung stillgelegter gemeindeeigener Hausmülldeponien zu tragen haben. Zuschussfähig sind die notwendigen Kosten für Erkundungs- oder Sanierungsmaßnahmen, soweit diese einen angemessenen Eigenanteil übersteigen. Der Eigenanteil der betroffenen Gemeinde gemäß Satz 2 beträgt je Hausmülldeponie 1,5 v.H. der Umlagegrundlagen (Art. 18 Abs. 3 FAG), höchstens 200 000 Euro. Maßgeblich für die Ermittlung der Umlagegrundlagen ist der Durchschnittswert der letzten drei Rechnungsjahre, die dem Jahr der Erstattungsantragstellung vorangehen. Die Kosten für die Erkundung und die Sanierung gemeindeeigener Hausmülldeponien bis zu einer Höhe von 20 000 Euro trägt allein die betroffene Gemeinde. Die Zuschussgewährung setzt voraus, dass die Erkundungs- oder Sanierungsmaßnahmen jeweils in eine nach Maßgabe der zur Verfügung stehenden Fondsmittel halbjährlich aufzustellende Prioritätenliste aufgenommen sind.</w:t>
      </w:r>
    </w:p>
    <w:p>
      <w:r>
        <w:t xml:space="preserve">(5) Das Staatsministerium für Umwelt und Verbraucherschutz wird ermächtigt, im Einvernehmen mit den Staatsministerien des Innern, für Sport und Integration und der Finanzen und für Heimat durch Rechtsverordnung die weiteren Einzelheiten, insbesondere des Berechnungs- und Erhebungsverfahrens, zu regeln. Es kann vorgesehen werden, dass das Landesamt für Statistik die Beiträge ermittelt und festsetzt und dass die Erhebung bei den kreisangehörigen Gemeinden im Weg der Verrechnung erfolgt. Ferner kann vorgesehen werden, dass bei Vorliegen einer besonderen Härte, insbesondere wenn ausgeschlossen ist, dass eine Gemeinde den Unterstützungsfonds in Anspruch nehmen kann, weil sie ihre Hausmülldeponien bereits vollständig saniert hat, der Beitrag einer Gemeinde reduziert werden kann. Die Verwaltung des Sondervermögens kann auf Dritte übertragen werden, sofern diese die erforderliche Zuverlässigkeit und Sachkunde bei der verfahrensrechtlichen Behandlung von Altlastensanierungen besitzen; die Übertragung ist stets widerruflich.</w:t>
      </w:r>
    </w:p>
    <w:p>
      <w:r>
        <w:rPr>
          <w:color w:val="555555"/>
          <w:sz w:val="17"/>
        </w:rPr>
        <w:t xml:space="preserve">Zitiervorschlag: Art 13a BayBodSchG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https://recht.nulegal.eu/gesetze/BayBodSchG/13a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