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BayBodSchG (Bayern) — Ausgleichsleistungen bei Beschränkung der land- und forstwirtschaftlichen Bodennutzung</w:t>
      </w:r>
    </w:p>
    <w:p>
      <w:r>
        <w:rPr>
          <w:color w:val="555555"/>
          <w:sz w:val="18"/>
        </w:rPr>
        <w:t xml:space="preserve">Bayerisches Bodenschutzgesetz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Gewährung eines Ausgleichs nach § 10 Abs. 2 des Bundes-Bodenschutzgesetzes entscheidet die zuständige Behörde im Einvernehmen mit dem Amt für Ernährung, Landwirtschaft und Forsten.</w:t>
      </w:r>
    </w:p>
    <w:p>
      <w:r>
        <w:t xml:space="preserve">(2) Die Staatsregierung wird ermächtigt, die Einzelheiten der Ausgleichsgewährung, insbesondere das Verfahren sowie Art und Umfang des Ausgleichsanspruchs, durch Rechtsverordnung zu regeln.</w:t>
      </w:r>
    </w:p>
    <w:p>
      <w:r>
        <w:rPr>
          <w:color w:val="555555"/>
          <w:sz w:val="17"/>
        </w:rPr>
        <w:t xml:space="preserve">Zitiervorschlag: Art 13 BayBodSchG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https://recht.nulegal.eu/gesetze/BayBodSchG/13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