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12 BayBodSchG (Bayern) — Pflichten der Behörde und sonstiger öffentlicher Stellen</w:t>
      </w:r>
    </w:p>
    <w:p>
      <w:r>
        <w:rPr>
          <w:color w:val="555555"/>
          <w:sz w:val="18"/>
        </w:rPr>
        <w:t xml:space="preserve">Bayerisches Bodenschutzgesetz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Staat, Gemeinden, Landkreise, Bezirke und sonstige juristische Personen des öffentlichen Rechts haben vorbildhaft dazu beizutragen, dass die Zielsetzungen und Grundsätze des § 1 des Bundes-Bodenschutzgesetzes erreicht werden.</w:t>
      </w:r>
    </w:p>
    <w:p>
      <w:r>
        <w:t xml:space="preserve">(2) Die in Absatz 1 genannten öffentlichen Stellen teilen ihre Erkenntnisse über die Besorgnis einer schädlichen Bodenveränderung sowie Anhaltspunkte dafür, dass eine schädliche Bodenveränderung oder Altlast vorliegt, unverzüglich der zuständigen Behörde mit.</w:t>
      </w:r>
    </w:p>
    <w:p>
      <w:r>
        <w:rPr>
          <w:color w:val="555555"/>
          <w:sz w:val="17"/>
        </w:rPr>
        <w:t xml:space="preserve">Zitiervorschlag: Art 12 BayBodSchG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https://recht.nulegal.eu/gesetze/BayBodSchG/12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12 BayBodSchG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