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BayBlindG (Bayern) — Verfahren</w:t>
      </w:r>
    </w:p>
    <w:p>
      <w:r>
        <w:rPr>
          <w:color w:val="555555"/>
          <w:sz w:val="18"/>
        </w:rPr>
        <w:t xml:space="preserve">Bayerisches Blindengeldgesetz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SGB I und das SGB X finden Anwendung, soweit dieses Gesetz keine abweichende Regelung enthält. Abweichend von § 45 Abs. 3 Satz 1 SGB X kann ein rechtswidriger begünstigender Verwaltungsakt mit Dauerwirkung bis zum Ablauf von vier Jahren nach seiner Bekanntgabe zurückgenommen werden.</w:t>
      </w:r>
    </w:p>
    <w:p>
      <w:r>
        <w:t xml:space="preserve">(2) § 118 Abs. 3 bis 4a SGB VI gelten entsprechend.</w:t>
      </w:r>
    </w:p>
    <w:p>
      <w:r>
        <w:t xml:space="preserve">(3) Für Streitigkeiten in Angelegenheiten dieses Gesetzes ist der Rechtsweg zu den Sozialgerichten gegeben. Soweit das Sozialgerichtsgesetz besondere Vorschriften für die Kriegsopferversorgung enthält, gelten diese auch für Streitigkeiten nach Satz 1.</w:t>
      </w:r>
    </w:p>
    <w:p>
      <w:r>
        <w:rPr>
          <w:color w:val="555555"/>
          <w:sz w:val="17"/>
        </w:rPr>
        <w:t xml:space="preserve">Zitiervorschlag: Art 7 BayBlindG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https://recht.nulegal.eu/gesetze/BayBlindG/7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