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BayBlindG (Bayern) — Anspruch</w:t>
      </w:r>
    </w:p>
    <w:p>
      <w:r>
        <w:rPr>
          <w:color w:val="555555"/>
          <w:sz w:val="18"/>
        </w:rPr>
        <w:t xml:space="preserve">Bayerisches Blindengeldgesetz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Blinde und hochgradig sehbehinderte Menschen erhalten auf Antrag, soweit sie ihren Wohnsitz oder gewöhnlichen Aufenthalt im Freistaat Bayern haben oder soweit die Verordnung (EG) Nr. 883/2004 dies vorsieht, zum Ausgleich der durch diese Behinderungen bedingten Mehraufwendungen ein monatliches Blindengeld.</w:t>
      </w:r>
    </w:p>
    <w:p>
      <w:r>
        <w:t xml:space="preserve">(2) Blind ist, wem das Augenlicht vollständig fehlt. Als blind gelten auch Personen,</w:t>
      </w:r>
    </w:p>
    <w:p>
      <w:r>
        <w:t xml:space="preserve">1. deren Sehschärfe auf keinem Auge und auch beidäugig nicht mehr als 1/50 beträgt oder</w:t>
      </w:r>
    </w:p>
    <w:p>
      <w:r>
        <w:t xml:space="preserve">2. bei denen durch Nummer 1 nicht erfaßte Störungen des Sehvermögens von einem solchen Schweregrad bestehen, daß sie der Beeinträchtigung der Sehschärfe nach Nummer 1 gleichzuachten sind.</w:t>
      </w:r>
    </w:p>
    <w:p>
      <w:r>
        <w:t xml:space="preserve">(3) Hochgradig sehbehindert ist, wer nicht blind im Sinne von Abs. 2 ist und</w:t>
      </w:r>
    </w:p>
    <w:p>
      <w:r>
        <w:t xml:space="preserve">1. wessen Sehschärfe auf keinem Auge und auch beidäugig nicht mehr als 1/20 beträgt oder</w:t>
      </w:r>
    </w:p>
    <w:p>
      <w:r>
        <w:t xml:space="preserve">2. wer so schwere Störungen des Sehvermögens hat, dass sie einen Grad der Behinderung von 100 nach dem SGB IX bedingen.</w:t>
      </w:r>
    </w:p>
    <w:p>
      <w:r>
        <w:t xml:space="preserve">(4) Taub im Sinne dieses Gesetzes sind Personen mit einem Hörverlust von mindestens 80 %.</w:t>
      </w:r>
    </w:p>
    <w:p>
      <w:r>
        <w:t xml:space="preserve">(5) Vorübergehende Seh- oder Hörstörungen sind nicht zu berücksichtigen. Als vorübergehend gilt ein Zeitraum bis zu sechs Monaten.</w:t>
      </w:r>
    </w:p>
    <w:p>
      <w:r>
        <w:rPr>
          <w:color w:val="555555"/>
          <w:sz w:val="17"/>
        </w:rPr>
        <w:t xml:space="preserve">Zitiervorschlag: Art 1 BayBlindG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https://recht.nulegal.eu/gesetze/BayBlindG/1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