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BayBildGrundV (Bayern)</w:t>
      </w:r>
    </w:p>
    <w:p>
      <w:r>
        <w:rPr>
          <w:color w:val="555555"/>
          <w:sz w:val="18"/>
        </w:rPr>
        <w:t xml:space="preserve">Verordnung zur beruflichen Grundbildung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17 Abs. 2 des Gesetzes über das berufliche Schulwesen in der Fassung der Bekanntmachung vom 29. Juli 1986 (GVBl S. 192, BayRS 2236-1-1-K) erläßt das Bayerische Staatsministerium für Unterricht, Kultus, Wissenschaft und Kunst im Einvernehmen mit den Bayerischen Staatsministerien der Finanzen und für Wirtschaft und Verkehr folgende Verordnung:</w:t>
      </w:r>
    </w:p>
    <w:p>
      <w:r>
        <w:rPr>
          <w:color w:val="555555"/>
          <w:sz w:val="17"/>
        </w:rPr>
        <w:t xml:space="preserve">Zitiervorschlag: Eingangsformel BayBildGrundV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https://recht.nulegal.eu/gesetze/BayBildGrundV/eingangsformel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