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BayBildGrundV (Bayern) — Berufsfeld XI: Körperpflege</w:t>
      </w:r>
    </w:p>
    <w:p>
      <w:r>
        <w:rPr>
          <w:color w:val="555555"/>
          <w:sz w:val="18"/>
        </w:rPr>
        <w:t xml:space="preserve">Verordnung zur beruflichen Grundbildung in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Friseur/Friseurin.</w:t>
      </w:r>
    </w:p>
    <w:p>
      <w:r>
        <w:t xml:space="preserve">(2) Die Vermittlung der beruflichen Grundbildung erfolgt in der Form des Berufsgrundbildungsjahres in kooperativer Form.</w:t>
      </w:r>
    </w:p>
    <w:p>
      <w:r>
        <w:rPr>
          <w:color w:val="555555"/>
          <w:sz w:val="17"/>
        </w:rPr>
        <w:t xml:space="preserve">Zitiervorschlag: § 12 BayBildGrundV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https://recht.nulegal.eu/gesetze/BayBildGrundV/12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BayBildGrundV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