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BayBildGrundV (Bayern) — Berufsfeld X: Gesundheit</w:t>
      </w:r>
    </w:p>
    <w:p>
      <w:r>
        <w:rPr>
          <w:color w:val="555555"/>
          <w:sz w:val="18"/>
        </w:rPr>
        <w:t xml:space="preserve">Verordnung zur beruflichen Grundbildung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</w:t>
      </w:r>
    </w:p>
    <w:p>
      <w:r>
        <w:t xml:space="preserve">1. Arzthelfer/Arzthelferin,</w:t>
      </w:r>
    </w:p>
    <w:p>
      <w:r>
        <w:t xml:space="preserve">2. Zahnarzthelfer/Zahnarzthelferin,</w:t>
      </w:r>
    </w:p>
    <w:p>
      <w:r>
        <w:t xml:space="preserve">3. Tierarzthelfer/Tierarzthelferin.</w:t>
      </w:r>
    </w:p>
    <w:p>
      <w:r>
        <w:t xml:space="preserve">(2) Die Vermittlung der beruflichen Grundbildung erfolgt in der Form des Berufsgrundbildungsjahres in kooperativer Form.</w:t>
      </w:r>
    </w:p>
    <w:p>
      <w:r>
        <w:rPr>
          <w:color w:val="555555"/>
          <w:sz w:val="17"/>
        </w:rPr>
        <w:t xml:space="preserve">Zitiervorschlag: § 11 BayBildGrundV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https://recht.nulegal.eu/gesetze/BayBildGrundV/11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