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BayBiergV (Bayern)</w:t>
      </w:r>
    </w:p>
    <w:p>
      <w:r>
        <w:rPr>
          <w:color w:val="555555"/>
          <w:sz w:val="18"/>
        </w:rPr>
        <w:t xml:space="preserve">Bayerische Biergartenverordnung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23 Abs. 2 Satz 1 des Bundes-Immissionsschutzgesetzes in der Fassung der Bekanntmachung vom 14. Mai 1990 (BGBl I S. 880), zuletzt geändert durch Art. 1 des Gesetzes vom 19. Oktober 1998 (BGBl I S. 3178),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BayBiergV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