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BayBiergV (Bayern) — In-Kraft-Treten</w:t>
      </w:r>
    </w:p>
    <w:p>
      <w:r>
        <w:rPr>
          <w:color w:val="555555"/>
          <w:sz w:val="18"/>
        </w:rPr>
        <w:t xml:space="preserve">Bayerische Biergartenverordnung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1999 in Kraft.</w:t>
      </w:r>
    </w:p>
    <w:p>
      <w:r>
        <w:rPr>
          <w:color w:val="555555"/>
          <w:sz w:val="17"/>
        </w:rPr>
        <w:t xml:space="preserve">Zitiervorschlag: § 3 BayBiergV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https://recht.nulegal.eu/gesetze/BayBiergV/3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