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BayBierStBek (Bayern)</w:t>
      </w:r>
    </w:p>
    <w:p>
      <w:r>
        <w:rPr>
          <w:color w:val="555555"/>
          <w:sz w:val="18"/>
        </w:rPr>
        <w:t xml:space="preserve">Bekanntmachung über Biersteuer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Artikels 2 des Gesetzes, betreffend Abweichungen von dem Biersteuergesetz vom 26. Juli 1918, vom 9. Juli 1922 (RGBl. S. 572) und des § 2 Abs. 2 des Gesetzes über den Eintritt der Freistaaten Bayern und Baden in die Biersteuergemeinschaft vom 24. Juni 1919/9. Juli 1923 (RGBl. 1919 S. 599/1923 S. 563) wird bestimmt:</w:t>
      </w:r>
    </w:p>
    <w:p>
      <w:r>
        <w:rPr>
          <w:color w:val="555555"/>
          <w:sz w:val="17"/>
        </w:rPr>
        <w:t xml:space="preserve">Zitiervorschlag: Eingangsformel BayBierStBek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https://recht.nulegal.eu/gesetze/BayBierStBek/eingangsformel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