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BayBhV (Bayern) — Ärztliche, zahnärztliche, psychotherapeutische Leistungen und Heilpraktikerleistungen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 Anlass einer Krankheit sind beihilfefähig die Aufwendungen für</w:t>
      </w:r>
    </w:p>
    <w:p>
      <w:r>
        <w:t xml:space="preserve">1. ärztliche Leistungen und Heilpraktikerleistungen,</w:t>
      </w:r>
    </w:p>
    <w:p>
      <w:r>
        <w:t xml:space="preserve">2. ambulante psychotherapeutische Leistungen mittels wissenschaftlich anerkannter Verfahren nach der Anlage Abschnitt B und G GOÄ nach Maßgabe der §§ 9 bis 13,</w:t>
      </w:r>
    </w:p>
    <w:p>
      <w:r>
        <w:t xml:space="preserve">3. zahnärztliche und kieferorthopädische Leistungen nach Maßgabe der §§ 14 bis 17.</w:t>
      </w:r>
    </w:p>
    <w:p>
      <w:r>
        <w:t xml:space="preserve">Nicht beihilfefähig sind Aufwendungen für Begutachtungen, die weder im Rahmen einer Behandlung noch bei der Durchführung dieser Vorschriften erbracht werden.</w:t>
      </w:r>
    </w:p>
    <w:p>
      <w:r>
        <w:rPr>
          <w:color w:val="555555"/>
          <w:sz w:val="17"/>
        </w:rPr>
        <w:t xml:space="preserve">Zitiervorschlag: § 8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