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BayBhV (Bayern) — Zusammentreffen des Beihilfeanspruchs mit anderen Ansprüchen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vorrangig in Anspruch zu nehmenden oder anzurechnenden Leistungen im Sinn des Art. 96 Abs. 2 Sätze 2 bis 5 des Bayerischen Beamtengesetzes (BayBG) handelt es sich um Leistungsansprüche, die auf Rechtsvorschriften oder arbeitsvertraglichen Vereinbarungen nach Bundes- oder Landesrecht beruhen. Gewährte Zuschüsse im Sinn des Art. 96 Abs. 2 Satz 4 BayBG werden in voller Höhe auf die beihilfefähigen Aufwendungen angerechnet. Bei der Versorgung mit Zahnersatz und Zahnkronen nach Maßgabe der §§ 14 bis 17 sind hierbei 75 % als gewährte Leistung anzurechnen; Berechnungsgrundlage ist der Betrag, aus dem sich der Zuschuss der Krankenkasse errechnet. Sätze 2 und 3 gelten auch, soweit Leistungserbringer in anderen Mitgliedstaaten der Europäischen Union in Anspruch genommen wurden. Art. 96 Abs. 2 Satz 3 BayBG gilt nicht</w:t>
      </w:r>
    </w:p>
    <w:p>
      <w:r>
        <w:t xml:space="preserve">1. für Leistungen nach dem Zwölften Buch Sozialgesetzbuch (SGB XII), wenn Ansprüche auf den Sozialhilfeträger übergeleitet sind,</w:t>
      </w:r>
    </w:p>
    <w:p>
      <w:r>
        <w:t xml:space="preserve">2. für berücksichtigungsfähige Kinder eines Beihilfeberechtigten, die von der Versicherung in der gesetzlichen Kranken- oder Rentenversicherung einer anderen Person, der Witwe oder des Witwers oder des hinterbliebenen Lebenspartners erfasst werden.</w:t>
      </w:r>
    </w:p>
    <w:p>
      <w:r>
        <w:t xml:space="preserve">(2) Nicht beihilfefähig sind Aufwendungen</w:t>
      </w:r>
    </w:p>
    <w:p>
      <w:r>
        <w:t xml:space="preserve">1. insoweit, als Schadenersatz von Dritten erlangt werden kann oder hätte erlangt werden können oder die Ansprüche auf einen anderen übergegangen oder übertragen worden sind; abweichend hiervon sind Aufwendungen beihilfefähig, die auf einem Ereignis beruhen, das nach Art. 14 BayBG zum Übergang des gesetzlichen Schadenersatzanspruchs auf den Dienstherrn führt,</w:t>
      </w:r>
    </w:p>
    <w:p>
      <w:r>
        <w:t xml:space="preserve">2. von Beamtinnen und Beamten, denen auf Grund von Art. 96 des Bayerischen Besoldungsgesetzes (BayBesG) Heilfürsorge zusteht.</w:t>
      </w:r>
    </w:p>
    <w:p>
      <w:r>
        <w:rPr>
          <w:color w:val="555555"/>
          <w:sz w:val="17"/>
        </w:rPr>
        <w:t xml:space="preserve">Zitiervorschlag: § 6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