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BayBhV (Bayern) — Zusammentreffen mehrerer Beihilfeberechtigungen</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Beim Zusammentreffen mehrerer Beihilfeberechtigungen auf Grund beamtenrechtlicher Vorschriften schließt eine Beihilfeberechtigung</w:t>
      </w:r>
    </w:p>
    <w:p>
      <w:r>
        <w:t xml:space="preserve">1. aus einem neuen Dienstverhältnis die Beihilfeberechtigung aus einem bereits bestehenden Dienstverhältnis,</w:t>
      </w:r>
    </w:p>
    <w:p>
      <w:r>
        <w:t xml:space="preserve">2. aus einem Dienstverhältnis die Beihilfeberechtigung aus einem Rechtsverhältnis als Versorgungsempfänger,</w:t>
      </w:r>
    </w:p>
    <w:p>
      <w:r>
        <w:t xml:space="preserve">3. auf Grund eines neuen Versorgungsbezugs die Beihilfeberechtigung auf Grund früherer Versorgungsbezüge aus.</w:t>
      </w:r>
    </w:p>
    <w:p>
      <w:r>
        <w:t xml:space="preserve">Satz 1 Nr. 3 gilt nicht, soweit es sich bei dem neuen Versorgungsbezug um ein Witwengeld oder Versorgungsbezüge für hinterbliebene Lebenspartner handelt.</w:t>
      </w:r>
    </w:p>
    <w:p>
      <w:r>
        <w:t xml:space="preserve">(2) Die Beihilfeberechtigung nach anderen als beamtenrechtlichen Vorschriften geht der Beihilfeberechtigung aus einem Rechtsverhältnis als Versorgungsempfänger vor.</w:t>
      </w:r>
    </w:p>
    <w:p>
      <w:r>
        <w:t xml:space="preserve">(3) Die Beihilfeberechtigung auf Grund beamtenrechtlicher Vorschriften oder ein dem Grunde nach bestehender Anspruch auf Leistungen der Krankenfürsorge in entsprechender Anwendung der Beihilferegelungen für Beamtinnen und Beamte schließt die Berücksichtigungsfähigkeit als Angehöriger aus. Die Beihilfeberechtigung nach anderen als beamtenrechtlichen Vorschriften geht der Berücksichtigungsfähigkeit als Angehöriger vor.</w:t>
      </w:r>
    </w:p>
    <w:p>
      <w:r>
        <w:t xml:space="preserve">(4) Der Beihilfeberechtigung nach beamtenrechtlichen Vorschriften steht der Anspruch auf Fürsorgeleistungen nach § 11 EuAbgG, § 27 AbgG oder entsprechenden vorrangigen landesrechtlichen Vorschriften, nach § 79 des Bundesbeamtengesetzes gegen das Bundeseisenbahnvermögen oder entsprechenden kirchenrechtlichen Vorschriften gleich.</w:t>
      </w:r>
    </w:p>
    <w:p>
      <w:r>
        <w:t xml:space="preserve">(5) Eine Beihilfeberechtigung nach anderen als beamtenrechtlichen Vorschriften ist gegeben, wenn ein Anspruch auf Beihilfen auf Grund privatrechtlicher Rechtsbeziehungen nach einer dieser Verordnung im Wesentlichen vergleichbaren Regelung besteht. Keine im Wesentlichen vergleichbare Regelung stellt der bei teilzeitbeschäftigten Arbeitnehmerinnen und Arbeitnehmern zu quotelnde Beihilfeanspruch dar.</w:t>
      </w:r>
    </w:p>
    <w:p>
      <w:r>
        <w:t xml:space="preserve">(6) Ist ein Kind bei mehreren Beihilfeberechtigten berücksichtigungsfähig, wird Beihilfe für seine Aufwendungen nur dem Beihilfeberechtigten gewährt, der den entsprechenden Anteil des Orts- und Familienzuschlags oder vergleichbare Vergütungsbestandteile erhält oder den die Beihilfeberechtigten in einer gemeinsamen Erklärung bestimmt haben. Ist im Beihilferecht des Bundes oder eines Landes eine feste Zuordnung von Kindern vorgesehen, gilt das Wahlrecht nach Satz 1 als ausgeübt.</w:t>
      </w:r>
    </w:p>
    <w:p>
      <w:r>
        <w:rPr>
          <w:color w:val="555555"/>
          <w:sz w:val="17"/>
        </w:rPr>
        <w:t xml:space="preserve">Zitiervorschlag: § 5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