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48 BayBhV (Bayern) — Verfahren</w:t>
      </w:r>
    </w:p>
    <w:p>
      <w:r>
        <w:rPr>
          <w:color w:val="555555"/>
          <w:sz w:val="18"/>
        </w:rPr>
        <w:t xml:space="preserve">Bayerische Beihilfeverordnung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Beihilfen müssen vom Beihilfeberechtigten schriftlich beantragt werden. Zulässig ist die Verwendung von EDV-Ausdrucken der Beihilfefestsetzungsstellen zur Abfrage der erforderlichen Daten. Alternativ zu Satz 1 kann die Antragsstellung auch mittels einer vom Dienstherrn bereitgestellten Anwendungssoftware (Beihilfe-App) erfolgen, für deren Freischaltung eine einmalige sichere elektronische Authentifizierung des Beihilfeberechtigten erforderlich ist. Die vom Dienstherren bereitgestellte Beihilfe-App muss die Integrität und Vertraulichkeit des übermittelten Datensatzes durch technische Maßnahmen, sowie die Anforderungen an die Barrierefreiheit nach § 9 Abs. 1 Satz 1 und 2 der Bayerischen Digitalverordnung gewährleisten. Abweichend von den Sätzen 1 bis 3 gilt als Beihilfeantrag:</w:t>
      </w:r>
    </w:p>
    <w:p>
      <w:r>
        <w:t xml:space="preserve">1. die Übermittlung der abrechnungsrelevanten Daten</w:t>
      </w:r>
    </w:p>
    <w:p>
      <w:r>
        <w:t xml:space="preserve">a) im Fall des § 31 Abs. 4 durch den Träger der Pflegeberatung oder</w:t>
      </w:r>
    </w:p>
    <w:p>
      <w:r>
        <w:t xml:space="preserve">b) im Fall des § 44 Abs. 5 durch das jeweilige Krebsregister</w:t>
      </w:r>
    </w:p>
    <w:p>
      <w:r>
        <w:t xml:space="preserve">oder</w:t>
      </w:r>
    </w:p>
    <w:p>
      <w:r>
        <w:t xml:space="preserve">2. im Fall des § 44 Abs. 3 Satz 3 die Antragstellung durch den Arbeitgeber.</w:t>
      </w:r>
    </w:p>
    <w:p>
      <w:r>
        <w:t xml:space="preserve">(2) Beihilfen werden nur zu den Aufwendungen gewährt, die durch Belege nachgewiesen sind, soweit nichts anderes bestimmt ist.</w:t>
      </w:r>
    </w:p>
    <w:p>
      <w:r>
        <w:t xml:space="preserve">(3) Die Beihilfeanträge sind mit Belegen der Festsetzungsstelle vorzulegen; die Vorlage von Zweitschriften oder Rechnungskopien ist ausreichend. Mit den übersandten Belegen ist entsprechend Art. 110 Abs. 2 BayBG zu verfahren. Die bei der Bearbeitung der Beihilfen bekannt gewordenen Angelegenheiten sind geheim zu halten.</w:t>
      </w:r>
    </w:p>
    <w:p>
      <w:r>
        <w:t xml:space="preserve">(4) Dem Beihilfeberechtigten können Abschlagszahlungen geleistet werden. Bei kostenintensiven Aufwendungsarten, z.B. stationären Krankenhausbehandlungen, kann die Überweisung der festgesetzten Beihilfe unmittelbar an den Leistungserbringer erfolgen, wenn der Beihilfeberechtigte dies beantragt und die Festsetzungsstelle dem Antrag zustimmt. Sollen hierbei bestehende Möglichkeiten eines elektronischen Datenaustauschs zwischen den Leistungserbringern oder von diesen mit der Rechnungsstellung beauftragten Dritten und der Festsetzungsstelle genutzt werden, ist von Beihilfeberechtigten und gegebenenfalls den behandelten volljährigen berücksichtigungsfähigen Angehörigen die Einwilligung in die erforderliche Datenverarbeitung sowie die Entbindung von der Schweigepflicht der Leistungserbringer einzuholen.</w:t>
      </w:r>
    </w:p>
    <w:p>
      <w:r>
        <w:t xml:space="preserve">(5) Ist in den Fällen des § 26 Satz 1 Nr. 5 und des § 29 Abs. 6 Satz 4 die vorherige Anerkennung der Beihilfefähigkeit unterblieben, wird eine Beihilfe nur gewährt, wenn das Versäumnis entschuldbar ist und die sachlichen Voraussetzungen für eine Anerkennung der Beihilfefähigkeit nachgewiesen sind.</w:t>
      </w:r>
    </w:p>
    <w:p>
      <w:r>
        <w:t xml:space="preserve">(6) Eine Beihilfe wird nur bei einer Antragsstellung innerhalb der in Art. 96 Abs. 3a BayBG bestimmten Frist gewährt. Für den Beginn der Frist ist bei Beihilfen nach § 32 Abs. 2 Satz 2 der letzte Tag des Monats, in dem die Pflege erbracht wurde, und bei Aufwendungen nach § 30 Abs. 5 Satz 1 Nr. 7 der Tag der Beendigung der Heilkur maßgebend. Hat ein Sozialhilfeträger vorgeleistet, beginnt die Frist mit dem Ersten des Monats, der auf den Monat folgt, in dem der Sozialhilfeträger die Aufwendungen bezahlt.</w:t>
      </w:r>
    </w:p>
    <w:p>
      <w:r>
        <w:t xml:space="preserve">(7) Zur Überprüfung von Notwendigkeit und Angemessenheit einzelner geltend gemachter Aufwendungen kann die Festsetzungsstelle Gutachterinnen oder Gutachter, Beratungsärztinnen oder Beratungsärzte und sonstige geeignete Stellen unter Übermittlung der erforderlichen Daten beteiligen, wobei personenbezogene Daten nur mit Einwilligung des Beihilfeberechtigten übermittelt werden dürfen. Die Zuerkennung der Eignung setzt voraus, dass die mit der Bewertung betrauten Personen nach dem Verpflichtungsgesetz zur Wahrung der Daten verpflichtet werden.</w:t>
      </w:r>
    </w:p>
    <w:p>
      <w:r>
        <w:t xml:space="preserve">(8) Die nach Art. 96 Abs. 4 BayBG zuständigen Dienststellen überprüfen bei entsprechenden Anhaltspunkten die Möglichkeit der Feststellung und Geltendmachung etwaiger Regressansprüche. Zur Umsetzung im staatlichen Bereich ist die in Art. 96 Abs. 4 Satz 3 BayBG bezeichnete staatliche Stelle befugt, bei den Staatsanwaltschaften Auskünfte zu Strafverfahren gegen Leistungserbringer wegen berufsbezogener Vermögens- und Korruptionsdelikte einzuholen, die so erhaltenen Informationen darauf hin zu überprüfen, ob sich unter den Geschädigten Beihilfeberechtigte befinden und im Fall der Übereinstimmung zur Geltendmachung von Ansprüchen nach Satz 1 zu verwenden. Nähere Vorgaben zur Umsetzung können vom Staatsministerium und dem Staatsministerium der Justiz gemeinsam festgelegt werden. Die nach Art. 96 Abs. 4 Satz 3 BayBG zuständige staatliche Stelle hat die von den Staatsanwaltschaften übermittelten Daten unverzüglich zu löschen, sobald eine Verarbeitung dieser Daten für die Prüfung nach Satz 2 nicht mehr erforderlich ist. Dies gilt insbesondere für Daten Geschädigter, die nach der Prüfung als beihilfeberechtigt ausscheiden.</w:t>
      </w:r>
    </w:p>
    <w:p>
      <w:r>
        <w:rPr>
          <w:color w:val="555555"/>
          <w:sz w:val="17"/>
        </w:rPr>
        <w:t xml:space="preserve">Zitiervorschlag: § 48 BayBhV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https://recht.nulegal.eu/gesetze/BayBhV/48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