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BayBhV (Bayern) — Begrenzung der Beihilfen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Leistungen von Dritten im Sinn von Art. 96 Abs. 2 Satz 2 BayBG handelt es sich um Leistungen aus einer Krankenversicherung, einer Pflegeversicherung, auf Grund von Rechtsvorschriften oder arbeitsvertraglichen Vereinbarungen. Leistungen aus Krankentagegeld-, Krankenhaustagegeld-, Pflegetagegeld-, Pflegerentenzusatz- und Pflegerentenversicherungen – soweit diese nicht der Befreiung von der Versicherungspflicht nach § 22 SGB XI dienen – bleiben unberücksichtigt. Dem Grunde nach beihilfefähig sind die in den §§ 8 bis 45 genannten Aufwendungen in tatsächlicher Höhe, für die im Einzelfall eine Beihilfe gewährt wird.</w:t>
      </w:r>
    </w:p>
    <w:p>
      <w:r>
        <w:t xml:space="preserve">(2) Die in Abs. 1 bezeichneten Leistungen sind durch Belege nachzuweisen. Soweit Leistungen aus einer Krankenversicherung oder Pflegeversicherung nachweislich nach einem Vomhundertsatz bemessen werden, ist ein Einzelnachweis nicht erforderlich. In diesem Fall wird die Leistung der Krankenversicherung oder Pflegeversicherung nach diesem Vomhundertsatz von den dem Grunde nach beihilfefähigen Aufwendungen errechnet. Der Summe der mit einem Antrag geltend gemachten Aufwendungen ist die Summe der hierauf entfallenden Versicherungsleistungen gegenüberzustellen; Aufwendungen nach den §§ 28 bis 39 werden getrennt abgerechnet.</w:t>
      </w:r>
    </w:p>
    <w:p>
      <w:r>
        <w:t xml:space="preserve">(3) Vor dem Abzug der Eigenbeteiligungen gemäß Art. 96 Abs. 3 Satz 5 BayBG ist bei Bedarf die Begrenzung gemäß Art. 96 Abs. 2 Satz 2 BayBG durchzuführen. Die Abzugsbeträge gelten mit dem Datum des Entstehens der Aufwendungen als erbracht.</w:t>
      </w:r>
    </w:p>
    <w:p>
      <w:r>
        <w:t xml:space="preserve">(4) Die Beihilfestelle hat die individuelle Höchstgrenze gemäß Art. 96 Abs. 3 Satz 7 und 8 BayBG anhand der im Januar eines Kalenderjahres maßgebenden Bezüge und Renten festzustellen. Abweichend hiervon ist bei einem Beginn der Beihilfeberechtigung während des laufenden Kalenderjahres der Tag der Berufung in ein Beamtenverhältnis, im Fall von Hinterbliebenen der Todestag des verstorbenen Beihilfeberechtigten maßgebend. Die nach den Sätzen 1 und 2 festgestellte Höchstgrenze vermindert sich bei verheirateten oder in einer eingetragenen Lebenspartnerschaft lebenden Beihilfeberechtigten um 15 %; sind beide Ehegatten oder Lebenspartner beihilfeberechtigt, erfolgt die Minderung des Einkommens um 15 % jeweils für jeden Beihilfeberechtigten gesondert. Die nach Satz 3 festgestellte Höchstgrenze vermindert sich für jedes berücksichtigungsfähige Kind um den sich nach § 32 Abs. 6 Satz 1 und 2 EStG ergebenden Betrag; ist ein Kind bei mehreren Beihilfeberechtigten berücksichtigungsfähig, erfolgt die Minderung nach Halbsatz 1 bei dem Beihilfeberechtigten, der nach § 5 Abs. 6 zur Geltendmachung der Aufwendungen für Kinder berechtigt ist. Auf der Basis des gegebenenfalls nach den Sätzen 3 und 4 geminderten fiktiven Jahresbetrags wird die individuelle Höchstgrenze von 2 % oder 1 % errechnet. Ab dem Zeitpunkt der Überschreitung der Belastungsgrenze ist die festgesetzte Beihilfe für den Rest des Kalenderjahres nicht mehr nach Art. 96 Abs. 3 Satz 5 BayBG zu mindern.</w:t>
      </w:r>
    </w:p>
    <w:p>
      <w:r>
        <w:t xml:space="preserve">(5) Wurden im Jahr des Todes des verstorbenen Beihilfeberechtigten bereits Eigenbehalte nach Abs. 3 Satz 1 berücksichtigt, werden diese bei der Feststellung der Belastungsgrenze gemäß Art. 96 Abs. 3 Satz 7 und 8 BayBG dem überlebenden Ehegatten oder Lebenspartner zugerechnet. Bei einem Anspruch gemäß Art. 89 Abs. 4 Satz 1 BayBG oder Art. 96 Abs. 1 Satz 4 BayBG kommt Art. 96 Abs. 3 Satz 5 BayBG nicht zur Anwendung; bezüglich des Beginns und des Endes der Beurlaubung gilt Abs. 4 Satz 2 entsprechend.</w:t>
      </w:r>
    </w:p>
    <w:p>
      <w:r>
        <w:rPr>
          <w:color w:val="555555"/>
          <w:sz w:val="17"/>
        </w:rPr>
        <w:t xml:space="preserve">Zitiervorschlag: § 47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