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BayBhV (Bayern) — Bemessung der Beihilfen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Beihilfe bemisst sich nach den in Art. 96 Abs. 3 Satz 2 BayBG genannten personenbezogenen Vomhundertsätzen (Bemessungssätze). Der Bemessungssatz für entpflichtete Hochschullehrer beträgt 50 %; abweichend hiervon beträgt der Bemessungssatz dann 70 %, wenn dem entpflichteten Hochschullehrer auf Grund einer weiteren Beihilfeberechtigung nach § 2 Abs. 1 Nr. 2, die jedoch gemäß § 5 Abs. 1 nachrangig ist, ein Bemessungssatz von 70 % zustehen würde.</w:t>
      </w:r>
    </w:p>
    <w:p>
      <w:r>
        <w:t xml:space="preserve">(2) Der nach Art. 96 Abs. 3 Satz 3 Halbsatz 2 BayBG bei mehreren Beihilfeberechtigten nur einmal zu gewährende erhöhte Bemessungssatz von 70 % wird dem Beihilfeberechtigten gewährt, der die entsprechenden Kinderanteile des Orts- und Familienzuschlags erhält. Eine hiervon abweichende Zuordnung ist nur im Fall einer gemeinsamen anderweitigen Bestimmung durch die Beihilfeberechtigten möglich; bereits vor dem 1. Januar 2007 getroffene Vereinbarungen gelten fort. Abweichende Bestimmungen nach Satz 2 sollen nur in Ausnahmefällen geändert werden. § 5 Abs. 6 Satz 2 gilt entsprechend.</w:t>
      </w:r>
    </w:p>
    <w:p>
      <w:r>
        <w:t xml:space="preserve">(3) Bei freiwilligen Mitgliedern der gesetzlichen Krankenversicherung wird ein nach Anrechnung von Kassenleistungen im Sinn von Art. 96 Abs. 2 Satz 4 BayBG verbleibender beihilfefähiger Differenzbetrag zu 100 % erstattet (Differenzkostenbeihilfe). Beihilfefähige Aufwendungen, zu denen die gesetzliche Krankenversicherung keine Zuschüsse gewährt, werden zu den jeweils nach Art. 96 Abs. 3 Satz 2 BayBG maßgebenden Bemessungssätzen erstattet.</w:t>
      </w:r>
    </w:p>
    <w:p>
      <w:r>
        <w:t xml:space="preserve">(4) Für die Anwendung des Abs. 1 gelten die Aufwendungen</w:t>
      </w:r>
    </w:p>
    <w:p>
      <w:r>
        <w:t xml:space="preserve">1. nach § 25 Abs. 1 und 2 als Aufwendungen der jüngsten verbleibenden Person,</w:t>
      </w:r>
    </w:p>
    <w:p>
      <w:r>
        <w:t xml:space="preserve">2. einer Begleitperson sowie von Begleitpersonen im Rahmen einer familienorientierten Rehabilitation als Aufwendungen des Begleiteten,</w:t>
      </w:r>
    </w:p>
    <w:p>
      <w:r>
        <w:t xml:space="preserve">3. nach § 42 Nrn. 1 bis 4 als Aufwendungen der Mutter,</w:t>
      </w:r>
    </w:p>
    <w:p>
      <w:r>
        <w:t xml:space="preserve">4. nach § 42 Nr. 5 für das gesunde Neugeborene als Aufwendungen der Mutter,</w:t>
      </w:r>
    </w:p>
    <w:p>
      <w:r>
        <w:t xml:space="preserve">5. nach § 44 Abs. 2 und 3 als Aufwendungen der Empfängerin oder des Empfängers von Organen, Geweben, Blutstammzellen oder anderen Blutbestandteilen.</w:t>
      </w:r>
    </w:p>
    <w:p>
      <w:r>
        <w:t xml:space="preserve">(5) Für beihilfefähige Aufwendungen, für die trotz ausreichender und rechtzeitiger Versicherung wegen angeborener Leiden oder bestimmter Krankheiten auf Grund eines individuellen Ausschlusses keine Versicherungsleistungen gewährt werden oder für die die Leistungen auf Dauer eingestellt worden sind (Aussteuerung), erhöht sich der Bemessungssatz um 20 Prozentpunkte, jedoch höchstens auf 90 %, wenn das Versicherungsunternehmen die Bedingungen nach § 257 Abs. 2a Satz 1 Nr. 1 bis 4 SGB V erfüllt.</w:t>
      </w:r>
    </w:p>
    <w:p>
      <w:r>
        <w:t xml:space="preserve">(6) Die oberste Dienstbehörde – im staatlichen Bereich das Staatsministerium – kann den Bemessungssatz erhöhen,</w:t>
      </w:r>
    </w:p>
    <w:p>
      <w:r>
        <w:t xml:space="preserve">1. für Aufwendungen infolge einer Dienstbeschädigung,</w:t>
      </w:r>
    </w:p>
    <w:p>
      <w:r>
        <w:t xml:space="preserve">2. in besonderen Ausnahmefällen, die nur bei Anlegung des strengsten Maßstabs anzunehmen sind; eine Erhöhung ist ausgeschlossen in Fällen der §§ 31 bis 39.</w:t>
      </w:r>
    </w:p>
    <w:p>
      <w:r>
        <w:t xml:space="preserve">Die oberste Dienstbehörde – im staatlichen Bereich das Staatsministerium – kann die Zuständigkeit nach Satz 1 auf eine andere Behörde übertragen.</w:t>
      </w:r>
    </w:p>
    <w:p>
      <w:r>
        <w:rPr>
          <w:color w:val="555555"/>
          <w:sz w:val="17"/>
        </w:rPr>
        <w:t xml:space="preserve">Zitiervorschlag: § 46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