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BayBhV (Bayern) — Außerhalb der Bundesrepublik Deutschland entstandene Aufwendungen</w:t>
      </w:r>
    </w:p>
    <w:p>
      <w:r>
        <w:rPr>
          <w:color w:val="555555"/>
          <w:sz w:val="18"/>
        </w:rPr>
        <w:t xml:space="preserve">Bayerische Beihilfeverordnung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Außerhalb der Bundesrepublik Deutschland entstandene Aufwendungen sind nur beihilfefähig, wenn es sich um Aufwendungen nach den §§ 8 bis 29, 31 bis 44 handelt und nur insoweit und bis zu der Höhe, wie sie in der Bundesrepublik Deutschland beim Verbleiben am Wohnort entstanden und beihilfefähig gewesen wären (Kostenvergleich). Soweit ein Beleg inhaltlich nicht den im Inland geltenden Anforderungen entspricht oder der Beihilfeberechtigte die für den Kostenvergleich notwendigen Angaben nicht beibringt, kann die Festsetzungsstelle im Rahmen des Satzes 1 nach billigem Ermessen die Angemessenheit der Aufwendungen feststellen, wenn der Beihilfeberechtigte mindestens eine Bescheinigung des Krankheitsbildes und der ungefähr erbrachten Leistungen, auf Anforderung auch eine Übersetzung der Belege, vorlegt. Bei innerhalb der Europäischen Union entstandenen beihilfefähigen Aufwendungen einschließlich stationärer Leistungen in öffentlichen Krankenhäusern wird kein Kostenvergleich durchgeführt. Abweichend von Satz 1 sind Aufwendungen, die anlässlich eines vorübergehenden privaten Aufenthalts außerhalb Europas entstanden sind, nicht beihilfefähig. Die Beschränkungen der Sätze 1, 3 und 4 gelten nicht für Aufwendungen, die anlässlich von Notfallbehandlungen in Krankenhäusern entstehen. Bei stationären Maßnahmen nach § 29 Abs. 1, die in Gebieten außerhalb der Europäischen Union durchgeführt werden, gilt Abs. 3 Nr. 3 entsprechend.</w:t>
      </w:r>
    </w:p>
    <w:p>
      <w:r>
        <w:t xml:space="preserve">(2) Aufwendungen nach Abs. 1 sind ohne Beschränkung auf die Kosten in der Bundesrepublik Deutschland beihilfefähig, wenn</w:t>
      </w:r>
    </w:p>
    <w:p>
      <w:r>
        <w:t xml:space="preserve">1. sie bei einer Dienstreise eines Beihilfeberechtigten entstanden sind, es sei denn, dass die Behandlung bis zur Rückkehr in die Bundesrepublik Deutschland hätte aufgeschoben werden können;</w:t>
      </w:r>
    </w:p>
    <w:p>
      <w:r>
        <w:t xml:space="preserve">2. die Beihilfefähigkeit vor Antritt der Reise anerkannt worden ist. Die Anerkennung der Beihilfefähigkeit kommt ausnahmsweise in Betracht, wenn durch ein amts- oder vertrauensärztliches Gutachten nachgewiesen ist, dass die Behandlung außerhalb der Bundesrepublik Deutschland zwingend notwendig ist, weil hierdurch eine wesentlich größere Erfolgsaussicht zu erwarten ist. Die Anerkennung der Beihilfefähigkeit von Aufwendungen, die im Zusammenhang mit einer Kur oder ähnlichen Maßnahmen entstehen, ist nach Maßgabe der Abs. 1 und 3 zulässig;</w:t>
      </w:r>
    </w:p>
    <w:p>
      <w:r>
        <w:t xml:space="preserve">3. sie für ärztliche und zahnärztliche Leistungen 550 € je Krankheitsfall nicht übersteigen oder bei in der Nähe der deutschen Grenze wohnenden Personen aus akutem Anlass das nächstgelegene Krankenhaus aufgesucht werden muss.</w:t>
      </w:r>
    </w:p>
    <w:p>
      <w:r>
        <w:t xml:space="preserve">(3) Aus Anlass stationärer oder ambulanter Maßnahmen im Sinn von § 30 Abs. 1 Nr. 1 und 3 außerhalb der Bundesrepublik Deutschland entstandene Aufwendungen sind ausnahmsweise beihilfefähig, wenn bei Antritt der Reise</w:t>
      </w:r>
    </w:p>
    <w:p>
      <w:r>
        <w:t xml:space="preserve">1. bei ambulanten Heilkuren der Kurort im Heilkurorteverzeichnis Ausland aufgeführt ist,</w:t>
      </w:r>
    </w:p>
    <w:p>
      <w:r>
        <w:t xml:space="preserve">2. die Voraussetzungen des § 30 vorliegen und</w:t>
      </w:r>
    </w:p>
    <w:p>
      <w:r>
        <w:t xml:space="preserve">3. bei Maßnahmen außerhalb der Europäischen Union durch ein amts- oder vertrauensärztliches Gutachten nachgewiesen ist, dass die Maßnahme wegen der wesentlich größeren Erfolgsaussicht außerhalb der Europäischen Union zwingend notwendig ist.</w:t>
      </w:r>
    </w:p>
    <w:p>
      <w:r>
        <w:t xml:space="preserve">Die Aufwendungen nach §§ 8 bis 19, 30 Abs. 5 Satz 1 Nr. 1, 2, 4, 5 und Satz 2 sind ohne Beschränkung auf die Kosten in der Bundesrepublik Deutschland beihilfefähig. Abs. 1 Satz 2 und 3 gilt entsprechend.</w:t>
      </w:r>
    </w:p>
    <w:p>
      <w:r>
        <w:t xml:space="preserve">(4) Voraussetzungen und Umfang der Beihilfefähigkeit von Aufwendungen von Beamtinnen und Beamten sowie deren berücksichtigungsfähigen Angehörigen mit dienstlichem Wohnsitz im Ausland bestimmen sich nach der Anlage 6 .</w:t>
      </w:r>
    </w:p>
    <w:p>
      <w:r>
        <w:rPr>
          <w:color w:val="555555"/>
          <w:sz w:val="17"/>
        </w:rPr>
        <w:t xml:space="preserve">Zitiervorschlag: § 45 BayBhV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