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44 BayBhV (Bayern) — Sonstige Aufwendungen</w:t>
      </w:r>
    </w:p>
    <w:p>
      <w:r>
        <w:rPr>
          <w:color w:val="555555"/>
          <w:sz w:val="18"/>
        </w:rPr>
        <w:t xml:space="preserve">Bayerische Beihilfeverordnung</w:t>
      </w:r>
    </w:p>
    <w:p>
      <w:r>
        <w:rPr>
          <w:color w:val="555555"/>
          <w:sz w:val="18"/>
        </w:rPr>
        <w:t xml:space="preserve">Landesrecht Bayern</w:t>
      </w:r>
    </w:p>
    <w:p>
      <w:r>
        <w:rPr>
          <w:color w:val="555555"/>
          <w:sz w:val="18"/>
        </w:rPr>
        <w:t xml:space="preserve">Stand: 01.09.2026 (konsolidierte Textfassung, kein amtliches Inkrafttretensdatum)</w:t>
      </w:r>
    </w:p>
    <w:p>
      <w:r>
        <w:t xml:space="preserve">(1) Aus Anlass einer Krankheit sind beihilfefähig die Aufwendungen für</w:t>
      </w:r>
    </w:p>
    <w:p>
      <w:r>
        <w:t xml:space="preserve">1. eine behördlich angeordnete Entseuchung und die dabei verbrauchten Stoffe,</w:t>
      </w:r>
    </w:p>
    <w:p>
      <w:r>
        <w:t xml:space="preserve">2. Erste Hilfe.</w:t>
      </w:r>
    </w:p>
    <w:p>
      <w:r>
        <w:t xml:space="preserve">(2) Beihilfefähig sind Aufwendungen bei postmortalen Organspenden für die Vermittlung, Entnahme, Versorgung, Organisation der Bereitstellung und den Transport des Organs zur Transplantation, soweit es sich bei den Organempfängern um beihilfeberechtigte oder berücksichtigungsfähige Personen handelt.</w:t>
      </w:r>
    </w:p>
    <w:p>
      <w:r>
        <w:t xml:space="preserve">(3) Aufwendungen für eine Spenderin oder einen Spender von Organen, Geweben, Blutstammzellen oder anderen Blutbestandteilen sind entsprechend den Abschnitten IV und V beihilfefähig, wenn die Empfängerin oder der Empfänger der Spende selbst beihilfeberechtigt ist oder zum Kreis der berücksichtigungsfähigen Angehörigen zählt. Beihilfefähig ist auch der nachgewiesene Ausfall von Arbeitseinkünften</w:t>
      </w:r>
    </w:p>
    <w:p>
      <w:r>
        <w:t xml:space="preserve">1. der Spenderin oder des Spenders,</w:t>
      </w:r>
    </w:p>
    <w:p>
      <w:r>
        <w:t xml:space="preserve">2. von Personen, die als Spenderin oder Spender vorgesehen waren, aber nicht in Betracht kommen.</w:t>
      </w:r>
    </w:p>
    <w:p>
      <w:r>
        <w:t xml:space="preserve">Dem Arbeitgeber der Spenderin oder des Spenders wird auf Antrag das fortgezahlte Entgelt entsprechend dem Bemessungssatz der Empfängerin oder des Empfängers erstattet.</w:t>
      </w:r>
    </w:p>
    <w:p>
      <w:r>
        <w:t xml:space="preserve">(4) Aufwendungen für die Registrierung von Beihilfeberechtigten und berücksichtigungsfähigen Angehörigen für die Suche nach einer nicht verwandten Blutstammzellspenderin oder einem nicht verwandten Blutstammzellspender im Zentralen Knochenmarkspender-Register sind beihilfefähig.</w:t>
      </w:r>
    </w:p>
    <w:p>
      <w:r>
        <w:t xml:space="preserve">(5) Erkranken Beihilfeberechtigte oder berücksichtigungsfähige Angehörige an Krebs, beteiligt sich die Festsetzungsstelle an den angemessenen personenbezogenen Kosten unmittelbar gegenüber dem jeweiligen klinischen Krebsregister für jede</w:t>
      </w:r>
    </w:p>
    <w:p>
      <w:r>
        <w:t xml:space="preserve">1. verarbeitete Meldung zur Neuerkrankung an einem Tumor im Sinn von § 65c Abs. 4 Satz 2 bis 4 und 5 SGB V sowie</w:t>
      </w:r>
    </w:p>
    <w:p>
      <w:r>
        <w:t xml:space="preserve">2. landesrechtlich vorgesehene Meldung der zu übermittelnden klinischen Daten an ein klinisches Krebsregister im Sinn von § 65c Abs. 6 SGB V.</w:t>
      </w:r>
    </w:p>
    <w:p>
      <w:r>
        <w:rPr>
          <w:color w:val="555555"/>
          <w:sz w:val="17"/>
        </w:rPr>
        <w:t xml:space="preserve">Zitiervorschlag: § 44 BayBhV (Bayern)</w:t>
      </w:r>
    </w:p>
    <w:p>
      <w:r>
        <w:rPr>
          <w:color w:val="555555"/>
          <w:sz w:val="17"/>
        </w:rPr>
        <w:t xml:space="preserve">Quelle: bayernrecht, abgerufen 01.09.2026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https://recht.nulegal.eu/gesetze/BayBhV/44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