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BayBhV (Bayern) — Künstliche Befruchtung, Sterilisation, Kontrazeption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Aufwendungen für eine künstliche Befruchtung einschließlich der im Zusammenhang damit verordneten Arzneimittel sowie gegebenenfalls Leistungen nach Abs. 3 sind nur dann zu 50 % beihilfefähig, wenn auf Grund eines Behandlungsplans</w:t>
      </w:r>
    </w:p>
    <w:p>
      <w:r>
        <w:t xml:space="preserve">1. die Maßnahmen nach ärztlicher Feststellung erforderlich sind,</w:t>
      </w:r>
    </w:p>
    <w:p>
      <w:r>
        <w:t xml:space="preserve">2. eine hinreichende Aussicht besteht, dass durch die Maßnahmen eine Schwangerschaft herbeigeführt wird,</w:t>
      </w:r>
    </w:p>
    <w:p>
      <w:r>
        <w:t xml:space="preserve">3. die Personen, die diese Maßnahmen in Anspruch nehmen wollen, miteinander verheiratet sind und</w:t>
      </w:r>
    </w:p>
    <w:p>
      <w:r>
        <w:t xml:space="preserve">4. ausschließlich Ei- und Samenzellen der Ehegatten verwendet werden.</w:t>
      </w:r>
    </w:p>
    <w:p>
      <w:r>
        <w:t xml:space="preserve">Beihilfefähig sind Aufwendungen für Personen, die das 25. Lebensjahr vollendet haben. Nicht beihilfefähig sind Aufwendungen für Frauen, die das 40. Lebensjahr und für Männer, die das 50. Lebensjahr vollendet haben.</w:t>
      </w:r>
    </w:p>
    <w:p>
      <w:r>
        <w:t xml:space="preserve">(2) Die für Maßnahmen nach Abs. 1 zur Verfügung stehenden Verfahren sind unter folgenden Voraussetzungen beihilfefähig:</w:t>
      </w:r>
    </w:p>
    <w:p>
      <w:r>
        <w:t xml:space="preserve">Verfahren</w:t>
      </w:r>
    </w:p>
    <w:p>
      <w:r>
        <w:t xml:space="preserve">Indikationen</w:t>
      </w:r>
    </w:p>
    <w:p>
      <w:r>
        <w:t xml:space="preserve">max. Anzahl der Versuche</w:t>
      </w:r>
    </w:p>
    <w:p>
      <w:r>
        <w:t xml:space="preserve">1.</w:t>
      </w:r>
    </w:p>
    <w:p>
      <w:r>
        <w:t xml:space="preserve">Intrazervikale, intrauterine oder intratubare Insemination im Spontanzyklus, ggf. nach Ovulationstiming ohne Polyovulation (drei oder mehr Follikel)</w:t>
      </w:r>
    </w:p>
    <w:p>
      <w:r>
        <w:t xml:space="preserve">–</w:t>
      </w:r>
    </w:p>
    <w:p>
      <w:r>
        <w:t xml:space="preserve">somatische Ursachen (z.B. Impotentia coeundi, retrograde Ejakulation, Hypospadie, Zervikalkanastenose, Dyspareunie),</w:t>
      </w:r>
    </w:p>
    <w:p>
      <w:r>
        <w:t xml:space="preserve">acht</w:t>
      </w:r>
    </w:p>
    <w:p>
      <w:r>
        <w:t xml:space="preserve">–</w:t>
      </w:r>
    </w:p>
    <w:p>
      <w:r>
        <w:t xml:space="preserve">gestörte Spermatozoen-Mukus-Interaktion,</w:t>
      </w:r>
    </w:p>
    <w:p>
      <w:r>
        <w:t xml:space="preserve">–</w:t>
      </w:r>
    </w:p>
    <w:p>
      <w:r>
        <w:t xml:space="preserve">Subfertilität des Mannes,</w:t>
      </w:r>
    </w:p>
    <w:p>
      <w:r>
        <w:t xml:space="preserve">–</w:t>
      </w:r>
    </w:p>
    <w:p>
      <w:r>
        <w:t xml:space="preserve">immunologisch bedingte Sterilität,</w:t>
      </w:r>
    </w:p>
    <w:p>
      <w:r>
        <w:t xml:space="preserve">2.</w:t>
      </w:r>
    </w:p>
    <w:p>
      <w:r>
        <w:t xml:space="preserve">Intrazervikale, intrauterine oder intratubare Insemination nach hormoneller Stimulation zur Polyovulation (drei oder mehr Follikel)</w:t>
      </w:r>
    </w:p>
    <w:p>
      <w:r>
        <w:t xml:space="preserve">–</w:t>
      </w:r>
    </w:p>
    <w:p>
      <w:r>
        <w:t xml:space="preserve">Subfertilität des Mannes,</w:t>
      </w:r>
    </w:p>
    <w:p>
      <w:r>
        <w:t xml:space="preserve">drei</w:t>
      </w:r>
    </w:p>
    <w:p>
      <w:r>
        <w:t xml:space="preserve">–</w:t>
      </w:r>
    </w:p>
    <w:p>
      <w:r>
        <w:t xml:space="preserve">immunologisch bedingte Sterilität,</w:t>
      </w:r>
    </w:p>
    <w:p>
      <w:r>
        <w:t xml:space="preserve">3.</w:t>
      </w:r>
    </w:p>
    <w:p>
      <w:r>
        <w:t xml:space="preserve">In-vitro-Fertilisation (IVF) mit Embryo-Transfer (ET), ggf. als Zygoten-Transfer oder als intratubarer Embryo-Transfer (EIFT = Embryo-Intrafallopian-Transfer)</w:t>
      </w:r>
    </w:p>
    <w:p>
      <w:r>
        <w:t xml:space="preserve">–</w:t>
      </w:r>
    </w:p>
    <w:p>
      <w:r>
        <w:t xml:space="preserve">Zustand nach Tubenamputation,</w:t>
      </w:r>
    </w:p>
    <w:p>
      <w:r>
        <w:t xml:space="preserve">drei (Der dritte Versuch ist nur beihilfefähig, wenn in einem von zwei Behandlungszyklen eine Befruchtung stattgefunden hat.)</w:t>
      </w:r>
    </w:p>
    <w:p>
      <w:r>
        <w:t xml:space="preserve">–</w:t>
      </w:r>
    </w:p>
    <w:p>
      <w:r>
        <w:t xml:space="preserve">anders (auch mikrochirurgisch) nicht behandelbarer Tubenverschluss,</w:t>
      </w:r>
    </w:p>
    <w:p>
      <w:r>
        <w:t xml:space="preserve">–</w:t>
      </w:r>
    </w:p>
    <w:p>
      <w:r>
        <w:t xml:space="preserve">anders nicht behandelbarer tubarer Funktionsverlust, auch bei Endometriose,</w:t>
      </w:r>
    </w:p>
    <w:p>
      <w:r>
        <w:t xml:space="preserve">idiopathische (unerklärbare) Sterilität, sofern – einschließlich einer psychologischen Exploration – alle diagnostischen und sonstigen therapeutischen Möglichkeiten der Sterilitätsbehandlung ausgeschöpft sind,</w:t>
      </w:r>
    </w:p>
    <w:p>
      <w:r>
        <w:t xml:space="preserve">–</w:t>
      </w:r>
    </w:p>
    <w:p>
      <w:r>
        <w:t xml:space="preserve">Subfertilität des Mannes, sofern Behandlungsversuche nach Nr. 2 keinen Erfolg versprechen oder erfolglos geblieben sind,</w:t>
      </w:r>
    </w:p>
    <w:p>
      <w:r>
        <w:t xml:space="preserve">–</w:t>
      </w:r>
    </w:p>
    <w:p>
      <w:r>
        <w:t xml:space="preserve">immunologisch bedingte Sterilität, sofern Behandlungsversuche nach Nr. 2 keinen Erfolg versprechen oder erfolglos geblieben sind,</w:t>
      </w:r>
    </w:p>
    <w:p>
      <w:r>
        <w:t xml:space="preserve">4.</w:t>
      </w:r>
    </w:p>
    <w:p>
      <w:r>
        <w:t xml:space="preserve">Intratubarer Gameten-Transfer (GIFT)</w:t>
      </w:r>
    </w:p>
    <w:p>
      <w:r>
        <w:t xml:space="preserve">–</w:t>
      </w:r>
    </w:p>
    <w:p>
      <w:r>
        <w:t xml:space="preserve">anders nicht behandelbarer tubarer Funktionsverlust, auch bei Endometriose,</w:t>
      </w:r>
    </w:p>
    <w:p>
      <w:r>
        <w:t xml:space="preserve">zwei</w:t>
      </w:r>
    </w:p>
    <w:p>
      <w:r>
        <w:t xml:space="preserve">–</w:t>
      </w:r>
    </w:p>
    <w:p>
      <w:r>
        <w:t xml:space="preserve">idiopathische (unerklärbare) Sterilität, sofern – einschließlich einer psychologischen Exploration – alle diagnostischen und sonstigen therapeutischen Möglichkeiten der Sterilitätsbehandlung ausgeschöpft sind,</w:t>
      </w:r>
    </w:p>
    <w:p>
      <w:r>
        <w:t xml:space="preserve">–</w:t>
      </w:r>
    </w:p>
    <w:p>
      <w:r>
        <w:t xml:space="preserve">Subfertilität des Mannes, sofern Behandlungsversuche nach Nr. 2 keinen Erfolg versprechen oder erfolglos geblieben sind,</w:t>
      </w:r>
    </w:p>
    <w:p>
      <w:r>
        <w:t xml:space="preserve">5.</w:t>
      </w:r>
    </w:p>
    <w:p>
      <w:r>
        <w:t xml:space="preserve">Intracytoplasmatische Spermieninjektion (ICSI)</w:t>
      </w:r>
    </w:p>
    <w:p>
      <w:r>
        <w:t xml:space="preserve">–</w:t>
      </w:r>
    </w:p>
    <w:p>
      <w:r>
        <w:t xml:space="preserve">schwere männliche Fertilitätsstörung, dokumentiert durch zwei aktuelle Spermiogramme, die auf der Grundlage des Handbuchs der WHO zu „Examination and processing of human semen“ erstellt worden sind; die Untersuchung des Mannes durch Ärztinnen oder Ärzte mit der Zusatzbezeichnung „Andrologie“ muss der Indikationsstellung vorausgehen,</w:t>
      </w:r>
    </w:p>
    <w:p>
      <w:r>
        <w:t xml:space="preserve">drei (Der dritte Versuch ist nur beihilfefähig, wenn in einem von zwei Behandlungszyklen eine Befruchtung stattgefunden hat.)</w:t>
      </w:r>
    </w:p>
    <w:p>
      <w:r>
        <w:t xml:space="preserve">–</w:t>
      </w:r>
    </w:p>
    <w:p>
      <w:r>
        <w:t xml:space="preserve">nach Kryokonservierung gemäß Abs. 4 bei nachgewiesener Fertilitätsstörung der Frau unabhängig von einer männlichen Fertilitätsstörung.</w:t>
      </w:r>
    </w:p>
    <w:p>
      <w:r>
        <w:t xml:space="preserve">Die Zuordnung der Kosten zu den jeweiligen Ehepartnern erfolgt nach der Person, anlässlich deren Beratung und Behandlung die Kosten entstehen. Danach werden die Aufwendungen</w:t>
      </w:r>
    </w:p>
    <w:p>
      <w:r>
        <w:t xml:space="preserve">1. dem Ehemann zugeordnet</w:t>
      </w:r>
    </w:p>
    <w:p>
      <w:r>
        <w:t xml:space="preserve">a) für Maßnahmen im Zusammenhang mit der Gewinnung, Untersuchung und Aufbereitung, gegebenenfalls einschließlich der Kapazitation des männlichen Samens,</w:t>
      </w:r>
    </w:p>
    <w:p>
      <w:r>
        <w:t xml:space="preserve">b) für die in Nr. 12.1 der Richtlinien über künstliche Befruchtung genannten Laboruntersuchungen des Ehemanns,</w:t>
      </w:r>
    </w:p>
    <w:p>
      <w:r>
        <w:t xml:space="preserve">c) für die Beratung des Ehepaares nach Nr. 16 der Richtlinien über künstliche Befruchtung und die gegebenenfalls in diesem Zusammenhang erfolgende humangenetische Beratung,</w:t>
      </w:r>
    </w:p>
    <w:p>
      <w:r>
        <w:t xml:space="preserve">2. der Ehefrau zugeordnet</w:t>
      </w:r>
    </w:p>
    <w:p>
      <w:r>
        <w:t xml:space="preserve">a) für die Beratung des Ehepaares nach Nr. 14 der Richtlinien über künstliche Befruchtung,</w:t>
      </w:r>
    </w:p>
    <w:p>
      <w:r>
        <w:t xml:space="preserve">b) für die in Nr. 12.1 der Richtlinien über künstliche Befruchtung genannten Laboruntersuchungen der Ehefrau,</w:t>
      </w:r>
    </w:p>
    <w:p>
      <w:r>
        <w:t xml:space="preserve">c) für die extrakorporalen Maßnahmen im Zusammenhang mit der Zusammenführung von Eizellen und Samenzellen.</w:t>
      </w:r>
    </w:p>
    <w:p>
      <w:r>
        <w:t xml:space="preserve">(3) Aufwendungen für die Kryokonservierung von imprägnierten Eizellen sind beihilfefähig,</w:t>
      </w:r>
    </w:p>
    <w:p>
      <w:r>
        <w:t xml:space="preserve">1. soweit und solange die Voraussetzungen für eine künstliche Befruchtung nach Abs. 1 vorliegen,</w:t>
      </w:r>
    </w:p>
    <w:p>
      <w:r>
        <w:t xml:space="preserve">2. wenn diese im Zusammenhang mit Maßnahmen der künstlichen Befruchtung nach Abs. 2 entstehen,</w:t>
      </w:r>
    </w:p>
    <w:p>
      <w:r>
        <w:t xml:space="preserve">längstens jedoch für die Dauer von drei Jahren.</w:t>
      </w:r>
    </w:p>
    <w:p>
      <w:r>
        <w:t xml:space="preserve">(4) Abweichend von Abs. 3 können Aufwendungen für die Kryokonservierung einschließlich Entnahme, vorhergehender Aufbereitung und nachfolgender Lagerung von Ei- oder Samenzellen oder von Keimzellgewebe und die dazugehörigen medizinischen Maßnahmen einschließlich hormoneller Stimulation in medizinisch begründeten Ausnahmefällen höchstens bis zum Erreichen der Höchstaltersgrenze für eine künstliche Befruchtung nach Abs. 1 Satz 3, längstens jedoch für die Dauer von 15 Jahren als beihilfefähig anerkannt werden.</w:t>
      </w:r>
    </w:p>
    <w:p>
      <w:r>
        <w:t xml:space="preserve">(5) Aufwendungen für eine Sterilisation sind nur beihilfefähig, wenn diese auf Grund einer Krankheit notwendig ist. In diesen Fällen sind die im Einzelfall erforderlichen Leistungen nach näherer Maßgabe der in §§ 8 bis 13, 18 und 26 bis 28 bezeichneten Aufwendungen beihilfefähig.</w:t>
      </w:r>
    </w:p>
    <w:p>
      <w:r>
        <w:t xml:space="preserve">(6) Beihilfefähig sind die Aufwendungen</w:t>
      </w:r>
    </w:p>
    <w:p>
      <w:r>
        <w:t xml:space="preserve">1. für die ärztliche Beratung über Fragen der Empfängnisregelung einschließlich hierzu erforderlicher Untersuchungen und die Verordnung von Empfängnis regelnden Mitteln,</w:t>
      </w:r>
    </w:p>
    <w:p>
      <w:r>
        <w:t xml:space="preserve">2. aus Anlass eines beabsichtigten Schwangerschaftsabbruchs für die ärztliche Beratung über die Erhaltung oder den nicht rechtswidrigen Abbruch der Schwangerschaft,</w:t>
      </w:r>
    </w:p>
    <w:p>
      <w:r>
        <w:t xml:space="preserve">3. für die ärztliche Untersuchung und Begutachtung zur Feststellung der Voraussetzungen für einen nicht rechtswidrigen Schwangerschaftsabbruch oder eine nicht rechtswidrige Sterilisation.</w:t>
      </w:r>
    </w:p>
    <w:p>
      <w:r>
        <w:rPr>
          <w:color w:val="555555"/>
          <w:sz w:val="17"/>
        </w:rPr>
        <w:t xml:space="preserve">Zitiervorschlag: § 43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