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BayBhV (Bayern) — Beihilfefähige Aufwendungen bei Geburt</w:t>
      </w:r>
    </w:p>
    <w:p>
      <w:r>
        <w:rPr>
          <w:color w:val="555555"/>
          <w:sz w:val="18"/>
        </w:rPr>
        <w:t xml:space="preserve">Bayerische Beihilfeverordnung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Aus Anlass einer Geburt sind beihilfefähig die Aufwendungen</w:t>
      </w:r>
    </w:p>
    <w:p>
      <w:r>
        <w:t xml:space="preserve">1. für die ärztliche Betreuung während der Schwangerschaft und nach der Entbindung,</w:t>
      </w:r>
    </w:p>
    <w:p>
      <w:r>
        <w:t xml:space="preserve">2. entsprechend §§ 8 bis 19, 25, 26, 28 und 44 Abs. 1 Nr. 2,</w:t>
      </w:r>
    </w:p>
    <w:p>
      <w:r>
        <w:t xml:space="preserve">3. für die Hebamme,</w:t>
      </w:r>
    </w:p>
    <w:p>
      <w:r>
        <w:t xml:space="preserve">4. für eine Haus- und Wochenpflegekraft bei Hausentbindung oder ambulanter Entbindung in einer Krankenanstalt bis zu zwei Wochen nach der Geburt, wenn die Wöchnerin nicht bereits wegen Krankheit von einer Berufs- oder Ersatzpflegekraft nach § 24 gepflegt wird; § 24 Abs. 1 Satz 3 gilt entsprechend,</w:t>
      </w:r>
    </w:p>
    <w:p>
      <w:r>
        <w:t xml:space="preserve">5. entsprechend § 28 für das Kind.</w:t>
      </w:r>
    </w:p>
    <w:p>
      <w:r>
        <w:rPr>
          <w:color w:val="555555"/>
          <w:sz w:val="17"/>
        </w:rPr>
        <w:t xml:space="preserve">Zitiervorschlag: § 42 BayBhV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https://recht.nulegal.eu/gesetze/BayBhV/42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