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38a BayBhV (Bayern) — Beihilfefähige Aufwendungen bei Pflegegrad 1</w:t>
      </w:r>
    </w:p>
    <w:p>
      <w:r>
        <w:rPr>
          <w:color w:val="555555"/>
          <w:sz w:val="18"/>
        </w:rPr>
        <w:t xml:space="preserve">Bayerische Beihilfeverordnung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pflegebedürftige beihilfeberechtigte oder berücksichtigungsfähige Personen des Pflegegrades 1 sind Aufwendungen beihilfefähig für</w:t>
      </w:r>
    </w:p>
    <w:p>
      <w:r>
        <w:t xml:space="preserve">1. Beratung zu Hause nach § 32 Abs. 6,</w:t>
      </w:r>
    </w:p>
    <w:p>
      <w:r>
        <w:t xml:space="preserve">2. zusätzliche Leistungen in ambulant betreuten Wohngruppen nach § 32 Abs. 4, wenn Leistungen nach § 38 Abs. 2 bezogen oder für eine spätere Inanspruchnahme angespart werden,</w:t>
      </w:r>
    </w:p>
    <w:p>
      <w:r>
        <w:t xml:space="preserve">3. Pflegehilfsmittel, Maßnahmen zur Verbesserung des Wohnumfeldes sowie digitale Pflegeanwendungen nach § 35,</w:t>
      </w:r>
    </w:p>
    <w:p>
      <w:r>
        <w:t xml:space="preserve">4. zusätzliche Betreuung und Aktivierung in stationären Pflegeeinrichtungen nach § 36 Abs. 1 Satz 3,</w:t>
      </w:r>
    </w:p>
    <w:p>
      <w:r>
        <w:t xml:space="preserve">5. vollstationäre Pflege nach § 36 Abs. 1 in Höhe von 131 € monatlich,</w:t>
      </w:r>
    </w:p>
    <w:p>
      <w:r>
        <w:t xml:space="preserve">6. Angebote zur Unterstützung im Alltag und Entlastungsbetrag nach § 38,</w:t>
      </w:r>
    </w:p>
    <w:p>
      <w:r>
        <w:t xml:space="preserve">7. Anschubfinanzierung zur Gründung von ambulant betreuten Wohngruppen nach § 32 Abs. 4 Satz 1 Halbsatz 2 und Satz 2,</w:t>
      </w:r>
    </w:p>
    <w:p>
      <w:r>
        <w:t xml:space="preserve">8. Rückstufung nach § 36 Abs. 2.</w:t>
      </w:r>
    </w:p>
    <w:p>
      <w:r>
        <w:rPr>
          <w:color w:val="555555"/>
          <w:sz w:val="17"/>
        </w:rPr>
        <w:t xml:space="preserve">Zitiervorschlag: § 38a BayBhV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https://recht.nulegal.eu/gesetze/BayBhV/38a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