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BayBhV (Bayern) — Familien- und Haushaltshilfe</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Beihilfefähig sind die Aufwendungen einer Familien- und Haushaltshilfe, wenn</w:t>
      </w:r>
    </w:p>
    <w:p>
      <w:r>
        <w:t xml:space="preserve">1. die sonst den Haushalt führende beihilfeberechtigte oder berücksichtigungsfähige Person (§ 3 Abs. 1) wegen ihrer notwendigen außerhäuslichen Unterbringung (§§ 27 bis 30 und 36) oder wegen Todes den Haushalt nicht weiterführen kann,</w:t>
      </w:r>
    </w:p>
    <w:p>
      <w:r>
        <w:t xml:space="preserve">2. im Haushalt mindestens eine beihilfeberechtigte oder berücksichtigungsfähige Person verbleibt, die pflegebedürftig ist oder das zwölfte Lebensjahr noch nicht vollendet hat,</w:t>
      </w:r>
    </w:p>
    <w:p>
      <w:r>
        <w:t xml:space="preserve">3. keine andere im Haushalt lebende Person den Haushalt, gegebenenfalls auch an einzelnen Stunden oder Tagen, weiterführen kann.</w:t>
      </w:r>
    </w:p>
    <w:p>
      <w:r>
        <w:t xml:space="preserve">(2) Ferner sind die Aufwendungen einer Familien- und Haushaltshilfe beihilfefähig</w:t>
      </w:r>
    </w:p>
    <w:p>
      <w:r>
        <w:t xml:space="preserve">1. in den ersten sieben Tagen nach Ende einer außerhäuslichen Unterbringung oder</w:t>
      </w:r>
    </w:p>
    <w:p>
      <w:r>
        <w:t xml:space="preserve">2. wenn nach personenbezogener ärztlicher Bescheinigung ein an sich erforderlicher stationärer Krankenhausaufenthalt durch eine Familien- und Haushaltshilfe vermieden wird.</w:t>
      </w:r>
    </w:p>
    <w:p>
      <w:r>
        <w:t xml:space="preserve">(3) Kosten der Haushaltsführung und Kinderbetreuung, die Beihilfeberechtigten oder deren berücksichtigungsfähigen Angehörigen auch außerhalb der in Abs. 1 und 2 genannten Zeiträume entstehen, sind auch im Fall der krankheitsbedingten Verhinderung der den Haushalt führenden beihilfeberechtigten oder berücksichtigungsfähigen Person nicht beihilfefähig. § 24 Abs. 1 Satz 3 gilt entsprechend. Im Fall des Todes der haushaltsführenden Person (Abs. 1 Nr. 1) sind Aufwendungen einer Familien- und Haushaltshilfe höchstens für sechs Monate, in Ausnahmefällen für zwölf Monate nach dem Todesfall beihilfefähig.</w:t>
      </w:r>
    </w:p>
    <w:p>
      <w:r>
        <w:t xml:space="preserve">(4) Werden anstelle der Beschäftigung einer Familien- und Haushaltshilfe Kinder unter zwölf Jahren oder pflegebedürftige berücksichtigungsfähige oder selbst beihilfeberechtigte Angehörige in einem Heim, einer sonstigen geeigneten Einrichtung oder in einem fremden Haushalt untergebracht, sind die Aufwendungen hierfür bis zu den sonst notwendigen Kosten einer Familien- und Haushaltshilfe beihilfefähig. Die Kosten für eine Unterbringung im Haushalt einer der in § 24 Abs. 1 Satz 3 genannten Personen sind – mit Ausnahme notwendiger Fahrtkosten bis zu dem in Satz 1 genannten Höchstbetrag – nicht beihilfefähig.</w:t>
      </w:r>
    </w:p>
    <w:p>
      <w:r>
        <w:t xml:space="preserve">(5) Angemessen sind die Aufwendungen einer Familien- und Haushaltshilfe bis zur Höhe der Kosten von Leistungen, die von den Krankenkassen in vergleichbaren Fällen auf der Grundlage des § 38 SGB V gewährt werden.</w:t>
      </w:r>
    </w:p>
    <w:p>
      <w:r>
        <w:rPr>
          <w:color w:val="555555"/>
          <w:sz w:val="17"/>
        </w:rPr>
        <w:t xml:space="preserve">Zitiervorschlag: § 25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