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BayBhV (Bayern) — Aufwendungen für Blindenhilfsmittel sowie die erforderliche Schulung in Orientierung und Mobilität</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Aufwendungen für Blindenhilfsmittel sowie die erforderliche Unterweisung im Gebrauch (Mobilitätstraining) sind im folgenden Umfang beihilfefähig:</w:t>
      </w:r>
    </w:p>
    <w:p>
      <w:r>
        <w:t xml:space="preserve">1. Anschaffungen zweier Langstöcke sowie elektronischer Blindenleitgeräte nach ärztlicher Verordnung,</w:t>
      </w:r>
    </w:p>
    <w:p>
      <w:r>
        <w:t xml:space="preserve">2. Aufwendungen für eine Ausbildung im Gebrauch des Langstocks sowie für eine Schulung in Orientierung und Mobilität bis zu folgenden Höchstbeträgen:</w:t>
      </w:r>
    </w:p>
    <w:p>
      <w:r>
        <w:t xml:space="preserve">a)</w:t>
      </w:r>
    </w:p>
    <w:p>
      <w:r>
        <w:t xml:space="preserve">je Unterrichtsstunde (60 Minuten), einschließlich 15 Minuten Vor- und Nachbereitung sowie der Erstellung von Unterrichtsmaterial bis zu 100 Stunden</w:t>
      </w:r>
    </w:p>
    <w:p>
      <w:r>
        <w:t xml:space="preserve">85,00 €,</w:t>
      </w:r>
    </w:p>
    <w:p>
      <w:r>
        <w:t xml:space="preserve">b)</w:t>
      </w:r>
    </w:p>
    <w:p>
      <w:r>
        <w:t xml:space="preserve">Fahrzeitentschädigung je Zeitstunde, wobei jede angefangene Stunde im Fünf-Minuten-Takt anteilig berechnet wird</w:t>
      </w:r>
    </w:p>
    <w:p>
      <w:r>
        <w:t xml:space="preserve">68,00 €,</w:t>
      </w:r>
    </w:p>
    <w:p>
      <w:r>
        <w:t xml:space="preserve">c)</w:t>
      </w:r>
    </w:p>
    <w:p>
      <w:r>
        <w:t xml:space="preserve">Fahrtkostenerstattung für Fahrten einer Trainingskraft je gefahrenem Kilometer oder die niedrigsten Kosten eines regelmäßig verkehrenden Beförderungsmittels</w:t>
      </w:r>
    </w:p>
    <w:p>
      <w:r>
        <w:t xml:space="preserve">0,40 €;</w:t>
      </w:r>
    </w:p>
    <w:p>
      <w:r>
        <w:t xml:space="preserve">das Mobilitätstraining erfolgt grundsätzlich als Einzeltraining und kann sowohl ambulant als auch in einer Spezialeinrichtung (stationär) durchgeführt werden. Werden an einem Tag mehrere Blinde unterrichtet, können die genannten Aufwendungen der Trainingskraft nur nach entsprechender Teilung berücksichtigt werden;</w:t>
      </w:r>
    </w:p>
    <w:p>
      <w:r>
        <w:t xml:space="preserve">3. Aufwendungen für ein erforderliches Nachtraining (z.B. bei Wegfall eines noch vorhandenen Sehrestes, Wechsel des Wohnortes) entsprechend Nr. 2;</w:t>
      </w:r>
    </w:p>
    <w:p>
      <w:r>
        <w:t xml:space="preserve">4. Aufwendungen eines ergänzenden Trainings an Blindenleitgeräten können in der Regel bis zu 30 Stunden, einschließlich der Kosten für Unterkunft und Verpflegung sowie notwendiger Fahrtkosten der Trainingskraft in entsprechendem Umfang anerkannt werden; die Anerkennung weiterer Stunden ist bei entsprechender Bescheinigung der Notwendigkeit möglich.</w:t>
      </w:r>
    </w:p>
    <w:p>
      <w:r>
        <w:t xml:space="preserve">(2) Sofern die Trainingskraft nicht gegenüber den gesetzlichen Krankenkassen zur Rechnungsstellung berechtigt ist, sind die entsprechenden Aufwendungen durch eine Rechnung einer Blindenorganisation nachzuweisen. Sofern Umsatzsteuerpflicht besteht (es ist ein Nachweis des Finanzamts vorzulegen), erhöhen sich die beihilfefähigen Aufwendungen um die jeweils gültige Umsatzsteuer.</w:t>
      </w:r>
    </w:p>
    <w:p>
      <w:r>
        <w:rPr>
          <w:color w:val="555555"/>
          <w:sz w:val="17"/>
        </w:rPr>
        <w:t xml:space="preserve">Zitiervorschlag: § 23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